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A8" w:rsidRPr="006B3DC1" w:rsidRDefault="006E4FA8" w:rsidP="006E4FA8">
      <w:pPr>
        <w:jc w:val="center"/>
        <w:rPr>
          <w:rFonts w:ascii="Montserrat" w:hAnsi="Montserrat"/>
          <w:noProof/>
          <w:lang w:eastAsia="es-MX"/>
        </w:rPr>
      </w:pPr>
    </w:p>
    <w:p w:rsidR="006B3DC1" w:rsidRPr="006B3DC1" w:rsidRDefault="006B3DC1" w:rsidP="006E4FA8">
      <w:pPr>
        <w:jc w:val="center"/>
        <w:rPr>
          <w:rFonts w:ascii="Montserrat" w:hAnsi="Montserrat"/>
          <w:noProof/>
          <w:lang w:eastAsia="es-MX"/>
        </w:rPr>
      </w:pPr>
    </w:p>
    <w:p w:rsidR="006B3DC1" w:rsidRPr="006B3DC1" w:rsidRDefault="006B3DC1" w:rsidP="006E4FA8">
      <w:pPr>
        <w:jc w:val="center"/>
        <w:rPr>
          <w:rFonts w:ascii="Montserrat" w:hAnsi="Montserrat"/>
        </w:rPr>
      </w:pPr>
    </w:p>
    <w:p w:rsidR="00917738" w:rsidRPr="006B3DC1" w:rsidRDefault="00E07832" w:rsidP="00F44F38">
      <w:pPr>
        <w:rPr>
          <w:rFonts w:ascii="Montserrat" w:hAnsi="Montserrat"/>
          <w:b/>
          <w:color w:val="003300"/>
          <w:sz w:val="28"/>
          <w:szCs w:val="28"/>
        </w:rPr>
      </w:pPr>
      <w:r w:rsidRPr="006B3DC1">
        <w:rPr>
          <w:rFonts w:ascii="Montserrat" w:hAnsi="Montserrat"/>
          <w:noProof/>
          <w:lang w:eastAsia="es-MX"/>
        </w:rPr>
        <mc:AlternateContent>
          <mc:Choice Requires="wps">
            <w:drawing>
              <wp:anchor distT="0" distB="0" distL="114300" distR="114300" simplePos="0" relativeHeight="251676672" behindDoc="0" locked="0" layoutInCell="1" allowOverlap="1" wp14:anchorId="0F263793" wp14:editId="482EC922">
                <wp:simplePos x="0" y="0"/>
                <wp:positionH relativeFrom="margin">
                  <wp:align>center</wp:align>
                </wp:positionH>
                <wp:positionV relativeFrom="paragraph">
                  <wp:posOffset>2711450</wp:posOffset>
                </wp:positionV>
                <wp:extent cx="4061460" cy="45719"/>
                <wp:effectExtent l="0" t="0" r="15240" b="12065"/>
                <wp:wrapNone/>
                <wp:docPr id="23" name="Rectángulo 23"/>
                <wp:cNvGraphicFramePr/>
                <a:graphic xmlns:a="http://schemas.openxmlformats.org/drawingml/2006/main">
                  <a:graphicData uri="http://schemas.microsoft.com/office/word/2010/wordprocessingShape">
                    <wps:wsp>
                      <wps:cNvSpPr/>
                      <wps:spPr>
                        <a:xfrm rot="10800000" flipV="1">
                          <a:off x="0" y="0"/>
                          <a:ext cx="4061460" cy="45719"/>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69EBF" id="Rectángulo 23" o:spid="_x0000_s1026" style="position:absolute;margin-left:0;margin-top:213.5pt;width:319.8pt;height:3.6pt;rotation:180;flip:y;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" fillcolor="#b8985b [2408]" strokecolor="#b8985b [2408]" strokeweight="1.25pt">
                <v:stroke endcap="round"/>
                <w10:wrap anchorx="margin"/>
              </v:rect>
            </w:pict>
          </mc:Fallback>
        </mc:AlternateContent>
      </w:r>
      <w:r w:rsidRPr="006B3DC1">
        <w:rPr>
          <w:rFonts w:ascii="Montserrat" w:hAnsi="Montserrat"/>
          <w:noProof/>
          <w:lang w:eastAsia="es-MX"/>
        </w:rPr>
        <mc:AlternateContent>
          <mc:Choice Requires="wps">
            <w:drawing>
              <wp:anchor distT="45720" distB="45720" distL="114300" distR="114300" simplePos="0" relativeHeight="251675648" behindDoc="0" locked="0" layoutInCell="1" allowOverlap="1" wp14:anchorId="2ABC6215" wp14:editId="180B9B7E">
                <wp:simplePos x="0" y="0"/>
                <wp:positionH relativeFrom="margin">
                  <wp:align>center</wp:align>
                </wp:positionH>
                <wp:positionV relativeFrom="paragraph">
                  <wp:posOffset>633095</wp:posOffset>
                </wp:positionV>
                <wp:extent cx="527875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8755" cy="1404620"/>
                        </a:xfrm>
                        <a:prstGeom prst="rect">
                          <a:avLst/>
                        </a:prstGeom>
                        <a:solidFill>
                          <a:srgbClr val="FFFFFF"/>
                        </a:solidFill>
                        <a:ln w="9525">
                          <a:noFill/>
                          <a:miter lim="800000"/>
                          <a:headEnd/>
                          <a:tailEnd/>
                        </a:ln>
                      </wps:spPr>
                      <wps:txbx>
                        <w:txbxContent>
                          <w:p w:rsidR="006B3DC1" w:rsidRPr="006B3DC1" w:rsidRDefault="006B3DC1" w:rsidP="006E4FA8">
                            <w:pPr>
                              <w:jc w:val="center"/>
                              <w:rPr>
                                <w:rFonts w:ascii="Montserrat" w:hAnsi="Montserrat"/>
                                <w:b/>
                                <w:color w:val="13322B" w:themeColor="accent3"/>
                                <w:sz w:val="40"/>
                              </w:rPr>
                            </w:pPr>
                            <w:r w:rsidRPr="006B3DC1">
                              <w:rPr>
                                <w:rFonts w:ascii="Montserrat" w:hAnsi="Montserrat"/>
                                <w:b/>
                                <w:color w:val="13322B" w:themeColor="accent3"/>
                                <w:sz w:val="40"/>
                              </w:rPr>
                              <w:t xml:space="preserve">Integración del Clasificador de los Proveedores de Servicios de Salud en </w:t>
                            </w:r>
                            <w:r w:rsidR="000A20F8">
                              <w:rPr>
                                <w:rFonts w:ascii="Montserrat" w:hAnsi="Montserrat"/>
                                <w:b/>
                                <w:color w:val="13322B" w:themeColor="accent3"/>
                                <w:sz w:val="40"/>
                              </w:rPr>
                              <w:t>la Matriz de Gasto</w:t>
                            </w:r>
                            <w:r w:rsidRPr="006B3DC1">
                              <w:rPr>
                                <w:rFonts w:ascii="Montserrat" w:hAnsi="Montserrat"/>
                                <w:b/>
                                <w:color w:val="13322B" w:themeColor="accent3"/>
                                <w:sz w:val="40"/>
                              </w:rPr>
                              <w:t xml:space="preserve"> 2018</w:t>
                            </w: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9D2449" w:themeColor="accent2"/>
                                <w:sz w:val="40"/>
                              </w:rPr>
                            </w:pPr>
                            <w:r w:rsidRPr="006B3DC1">
                              <w:rPr>
                                <w:rFonts w:ascii="Montserrat" w:hAnsi="Montserrat"/>
                                <w:b/>
                                <w:color w:val="9D2449" w:themeColor="accent2"/>
                                <w:sz w:val="40"/>
                              </w:rPr>
                              <w:t>Sistema de Cuentas en Salud a</w:t>
                            </w:r>
                          </w:p>
                          <w:p w:rsidR="006B3DC1" w:rsidRPr="006B3DC1" w:rsidRDefault="006B3DC1" w:rsidP="006E4FA8">
                            <w:pPr>
                              <w:jc w:val="center"/>
                              <w:rPr>
                                <w:rFonts w:ascii="Montserrat" w:hAnsi="Montserrat"/>
                                <w:b/>
                                <w:color w:val="9D2449" w:themeColor="accent2"/>
                                <w:sz w:val="40"/>
                              </w:rPr>
                            </w:pPr>
                            <w:r w:rsidRPr="006B3DC1">
                              <w:rPr>
                                <w:rFonts w:ascii="Montserrat" w:hAnsi="Montserrat"/>
                                <w:b/>
                                <w:color w:val="9D2449" w:themeColor="accent2"/>
                                <w:sz w:val="40"/>
                              </w:rPr>
                              <w:t>Nivel Federal y Estatal</w:t>
                            </w:r>
                          </w:p>
                          <w:p w:rsidR="006B3DC1" w:rsidRPr="006B3DC1" w:rsidRDefault="006B3DC1" w:rsidP="006E4FA8">
                            <w:pPr>
                              <w:jc w:val="center"/>
                              <w:rPr>
                                <w:rFonts w:ascii="Montserrat" w:hAnsi="Montserrat"/>
                                <w:b/>
                                <w:color w:val="9D2449" w:themeColor="accent2"/>
                                <w:sz w:val="40"/>
                              </w:rPr>
                            </w:pPr>
                            <w:r w:rsidRPr="006B3DC1">
                              <w:rPr>
                                <w:rFonts w:ascii="Montserrat" w:hAnsi="Montserrat"/>
                                <w:b/>
                                <w:color w:val="9D2449" w:themeColor="accent2"/>
                                <w:sz w:val="40"/>
                              </w:rPr>
                              <w:t>(SICUENTAS)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BC6215" id="_x0000_t202" coordsize="21600,21600" o:spt="202" path="m,l,21600r21600,l21600,xe">
                <v:stroke joinstyle="miter"/>
                <v:path gradientshapeok="t" o:connecttype="rect"/>
              </v:shapetype>
              <v:shape id="Cuadro de texto 2" o:spid="_x0000_s1026" type="#_x0000_t202" style="position:absolute;margin-left:0;margin-top:49.85pt;width:415.65pt;height:110.6pt;z-index:25167564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" stroked="f">
                <v:textbox style="mso-fit-shape-to-text:t">
                  <w:txbxContent>
                    <w:p w:rsidR="006B3DC1" w:rsidRPr="006B3DC1" w:rsidRDefault="006B3DC1" w:rsidP="006E4FA8">
                      <w:pPr>
                        <w:jc w:val="center"/>
                        <w:rPr>
                          <w:rFonts w:ascii="Montserrat" w:hAnsi="Montserrat"/>
                          <w:b/>
                          <w:color w:val="13322B" w:themeColor="accent3"/>
                          <w:sz w:val="40"/>
                        </w:rPr>
                      </w:pPr>
                      <w:r w:rsidRPr="006B3DC1">
                        <w:rPr>
                          <w:rFonts w:ascii="Montserrat" w:hAnsi="Montserrat"/>
                          <w:b/>
                          <w:color w:val="13322B" w:themeColor="accent3"/>
                          <w:sz w:val="40"/>
                        </w:rPr>
                        <w:t xml:space="preserve">Integración del Clasificador de los Proveedores de Servicios de Salud en </w:t>
                      </w:r>
                      <w:r w:rsidR="000A20F8">
                        <w:rPr>
                          <w:rFonts w:ascii="Montserrat" w:hAnsi="Montserrat"/>
                          <w:b/>
                          <w:color w:val="13322B" w:themeColor="accent3"/>
                          <w:sz w:val="40"/>
                        </w:rPr>
                        <w:t>la Matriz de Gasto</w:t>
                      </w:r>
                      <w:r w:rsidRPr="006B3DC1">
                        <w:rPr>
                          <w:rFonts w:ascii="Montserrat" w:hAnsi="Montserrat"/>
                          <w:b/>
                          <w:color w:val="13322B" w:themeColor="accent3"/>
                          <w:sz w:val="40"/>
                        </w:rPr>
                        <w:t xml:space="preserve"> 2018</w:t>
                      </w: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003300"/>
                          <w:sz w:val="40"/>
                        </w:rPr>
                      </w:pPr>
                    </w:p>
                    <w:p w:rsidR="006B3DC1" w:rsidRPr="006B3DC1" w:rsidRDefault="006B3DC1" w:rsidP="006E4FA8">
                      <w:pPr>
                        <w:jc w:val="center"/>
                        <w:rPr>
                          <w:rFonts w:ascii="Montserrat" w:hAnsi="Montserrat"/>
                          <w:b/>
                          <w:color w:val="9D2449" w:themeColor="accent2"/>
                          <w:sz w:val="40"/>
                        </w:rPr>
                      </w:pPr>
                      <w:r w:rsidRPr="006B3DC1">
                        <w:rPr>
                          <w:rFonts w:ascii="Montserrat" w:hAnsi="Montserrat"/>
                          <w:b/>
                          <w:color w:val="9D2449" w:themeColor="accent2"/>
                          <w:sz w:val="40"/>
                        </w:rPr>
                        <w:t>Sistema de Cuentas en Salud a</w:t>
                      </w:r>
                    </w:p>
                    <w:p w:rsidR="006B3DC1" w:rsidRPr="006B3DC1" w:rsidRDefault="006B3DC1" w:rsidP="006E4FA8">
                      <w:pPr>
                        <w:jc w:val="center"/>
                        <w:rPr>
                          <w:rFonts w:ascii="Montserrat" w:hAnsi="Montserrat"/>
                          <w:b/>
                          <w:color w:val="9D2449" w:themeColor="accent2"/>
                          <w:sz w:val="40"/>
                        </w:rPr>
                      </w:pPr>
                      <w:r w:rsidRPr="006B3DC1">
                        <w:rPr>
                          <w:rFonts w:ascii="Montserrat" w:hAnsi="Montserrat"/>
                          <w:b/>
                          <w:color w:val="9D2449" w:themeColor="accent2"/>
                          <w:sz w:val="40"/>
                        </w:rPr>
                        <w:t>Nivel Federal y Estatal</w:t>
                      </w:r>
                    </w:p>
                    <w:p w:rsidR="006B3DC1" w:rsidRPr="006B3DC1" w:rsidRDefault="006B3DC1" w:rsidP="006E4FA8">
                      <w:pPr>
                        <w:jc w:val="center"/>
                        <w:rPr>
                          <w:rFonts w:ascii="Montserrat" w:hAnsi="Montserrat"/>
                          <w:b/>
                          <w:color w:val="9D2449" w:themeColor="accent2"/>
                          <w:sz w:val="40"/>
                        </w:rPr>
                      </w:pPr>
                      <w:r w:rsidRPr="006B3DC1">
                        <w:rPr>
                          <w:rFonts w:ascii="Montserrat" w:hAnsi="Montserrat"/>
                          <w:b/>
                          <w:color w:val="9D2449" w:themeColor="accent2"/>
                          <w:sz w:val="40"/>
                        </w:rPr>
                        <w:t>(SICUENTAS)</w:t>
                      </w:r>
                    </w:p>
                  </w:txbxContent>
                </v:textbox>
                <w10:wrap type="square" anchorx="margin"/>
              </v:shape>
            </w:pict>
          </mc:Fallback>
        </mc:AlternateContent>
      </w:r>
      <w:r w:rsidR="006E4FA8" w:rsidRPr="006B3DC1">
        <w:rPr>
          <w:rFonts w:ascii="Montserrat" w:hAnsi="Montserrat"/>
        </w:rPr>
        <w:br w:type="page"/>
      </w:r>
    </w:p>
    <w:p w:rsidR="00AF596B" w:rsidRPr="00850A96" w:rsidRDefault="00AF596B" w:rsidP="00AF596B">
      <w:pPr>
        <w:pStyle w:val="NayeliSalud"/>
        <w:jc w:val="both"/>
        <w:rPr>
          <w:rFonts w:ascii="Montserrat" w:hAnsi="Montserrat"/>
          <w:b/>
          <w:color w:val="13322B" w:themeColor="accent3"/>
          <w:sz w:val="24"/>
          <w:szCs w:val="24"/>
        </w:rPr>
      </w:pPr>
      <w:r w:rsidRPr="00850A96">
        <w:rPr>
          <w:rFonts w:ascii="Montserrat" w:hAnsi="Montserrat"/>
          <w:b/>
          <w:color w:val="13322B" w:themeColor="accent3"/>
          <w:sz w:val="24"/>
          <w:szCs w:val="24"/>
        </w:rPr>
        <w:lastRenderedPageBreak/>
        <w:t>Clasificador SICUENTAS HP</w:t>
      </w:r>
      <w:r w:rsidR="00D543A8" w:rsidRPr="00850A96">
        <w:rPr>
          <w:rFonts w:ascii="Montserrat" w:hAnsi="Montserrat"/>
          <w:b/>
          <w:color w:val="13322B" w:themeColor="accent3"/>
          <w:sz w:val="24"/>
          <w:szCs w:val="24"/>
        </w:rPr>
        <w:t>:</w:t>
      </w:r>
      <w:r w:rsidRPr="00850A96">
        <w:rPr>
          <w:rFonts w:ascii="Montserrat" w:hAnsi="Montserrat"/>
          <w:b/>
          <w:color w:val="13322B" w:themeColor="accent3"/>
          <w:sz w:val="24"/>
          <w:szCs w:val="24"/>
        </w:rPr>
        <w:t xml:space="preserve"> Clasificación de los Proveedores de Servicios de Salud</w:t>
      </w:r>
    </w:p>
    <w:p w:rsidR="00AF596B" w:rsidRPr="006B3DC1" w:rsidRDefault="00AF596B" w:rsidP="00D16812">
      <w:pPr>
        <w:pStyle w:val="NayeliSalud"/>
        <w:jc w:val="both"/>
        <w:rPr>
          <w:rFonts w:ascii="Montserrat" w:hAnsi="Montserrat"/>
          <w:sz w:val="22"/>
        </w:rPr>
      </w:pPr>
      <w:r w:rsidRPr="006B3DC1">
        <w:rPr>
          <w:rFonts w:ascii="Montserrat" w:hAnsi="Montserrat"/>
          <w:sz w:val="22"/>
        </w:rPr>
        <w:t>Los proveedores de Salud son organizaciones y actores cuya actividad principal es la entrega de bienes y servicios de salud, así como</w:t>
      </w:r>
      <w:r w:rsidR="00D0043A" w:rsidRPr="006B3DC1">
        <w:rPr>
          <w:rFonts w:ascii="Montserrat" w:hAnsi="Montserrat"/>
          <w:sz w:val="22"/>
        </w:rPr>
        <w:t xml:space="preserve"> para</w:t>
      </w:r>
      <w:r w:rsidRPr="006B3DC1">
        <w:rPr>
          <w:rFonts w:ascii="Montserrat" w:hAnsi="Montserrat"/>
          <w:sz w:val="22"/>
        </w:rPr>
        <w:t xml:space="preserve"> quienes </w:t>
      </w:r>
      <w:r w:rsidR="008102CD" w:rsidRPr="006B3DC1">
        <w:rPr>
          <w:rFonts w:ascii="Montserrat" w:hAnsi="Montserrat"/>
          <w:sz w:val="22"/>
        </w:rPr>
        <w:t>esto</w:t>
      </w:r>
      <w:r w:rsidR="0079686F" w:rsidRPr="006B3DC1">
        <w:rPr>
          <w:rFonts w:ascii="Montserrat" w:hAnsi="Montserrat"/>
          <w:sz w:val="22"/>
        </w:rPr>
        <w:t xml:space="preserve"> </w:t>
      </w:r>
      <w:r w:rsidRPr="006B3DC1">
        <w:rPr>
          <w:rFonts w:ascii="Montserrat" w:hAnsi="Montserrat"/>
          <w:sz w:val="22"/>
        </w:rPr>
        <w:t>sólo</w:t>
      </w:r>
      <w:r w:rsidR="0079686F" w:rsidRPr="006B3DC1">
        <w:rPr>
          <w:rFonts w:ascii="Montserrat" w:hAnsi="Montserrat"/>
          <w:sz w:val="22"/>
        </w:rPr>
        <w:t xml:space="preserve"> </w:t>
      </w:r>
      <w:r w:rsidR="00861660" w:rsidRPr="006B3DC1">
        <w:rPr>
          <w:rFonts w:ascii="Montserrat" w:hAnsi="Montserrat"/>
          <w:sz w:val="22"/>
        </w:rPr>
        <w:t>representa</w:t>
      </w:r>
      <w:r w:rsidR="00F065AA" w:rsidRPr="006B3DC1">
        <w:rPr>
          <w:rFonts w:ascii="Montserrat" w:hAnsi="Montserrat"/>
          <w:sz w:val="22"/>
        </w:rPr>
        <w:t>n</w:t>
      </w:r>
      <w:r w:rsidR="00861660" w:rsidRPr="006B3DC1">
        <w:rPr>
          <w:rFonts w:ascii="Montserrat" w:hAnsi="Montserrat"/>
          <w:sz w:val="22"/>
        </w:rPr>
        <w:t xml:space="preserve"> </w:t>
      </w:r>
      <w:r w:rsidRPr="006B3DC1">
        <w:rPr>
          <w:rFonts w:ascii="Montserrat" w:hAnsi="Montserrat"/>
          <w:sz w:val="22"/>
        </w:rPr>
        <w:t>una parte de las actividades que realizan.</w:t>
      </w:r>
    </w:p>
    <w:p w:rsidR="00AF596B" w:rsidRPr="006B3DC1" w:rsidRDefault="00AF596B" w:rsidP="00D16812">
      <w:pPr>
        <w:pStyle w:val="NayeliSalud"/>
        <w:jc w:val="both"/>
        <w:rPr>
          <w:rFonts w:ascii="Montserrat" w:hAnsi="Montserrat"/>
          <w:sz w:val="22"/>
        </w:rPr>
      </w:pPr>
      <w:r w:rsidRPr="006B3DC1">
        <w:rPr>
          <w:rFonts w:ascii="Montserrat" w:hAnsi="Montserrat"/>
          <w:sz w:val="22"/>
        </w:rPr>
        <w:t>Esta clasificación tiene tres principales objetivos, ser exhaustiva</w:t>
      </w:r>
      <w:r w:rsidR="00034A7F" w:rsidRPr="006B3DC1">
        <w:rPr>
          <w:rFonts w:ascii="Montserrat" w:hAnsi="Montserrat"/>
          <w:sz w:val="22"/>
        </w:rPr>
        <w:t xml:space="preserve"> </w:t>
      </w:r>
      <w:r w:rsidRPr="006B3DC1">
        <w:rPr>
          <w:rFonts w:ascii="Montserrat" w:hAnsi="Montserrat"/>
          <w:sz w:val="22"/>
        </w:rPr>
        <w:t>y completa</w:t>
      </w:r>
      <w:r w:rsidR="00034A7F" w:rsidRPr="006B3DC1">
        <w:rPr>
          <w:rFonts w:ascii="Montserrat" w:hAnsi="Montserrat"/>
          <w:sz w:val="22"/>
        </w:rPr>
        <w:t xml:space="preserve"> (incluir todas las actividades)</w:t>
      </w:r>
      <w:r w:rsidRPr="006B3DC1">
        <w:rPr>
          <w:rFonts w:ascii="Montserrat" w:hAnsi="Montserrat"/>
          <w:sz w:val="22"/>
        </w:rPr>
        <w:t>, es decir</w:t>
      </w:r>
      <w:r w:rsidR="00607A31" w:rsidRPr="006B3DC1">
        <w:rPr>
          <w:rFonts w:ascii="Montserrat" w:hAnsi="Montserrat"/>
          <w:sz w:val="22"/>
        </w:rPr>
        <w:t>,</w:t>
      </w:r>
      <w:r w:rsidRPr="006B3DC1">
        <w:rPr>
          <w:rFonts w:ascii="Montserrat" w:hAnsi="Montserrat"/>
          <w:sz w:val="22"/>
        </w:rPr>
        <w:t xml:space="preserve"> incluir todas las organizaciones y actores involucrados en la provisión de bienes y servicios de salud; permitir la vinculación con las funciones de salud (HC) y al financiamiento (HF) y por último identificar el lugar donde habrán de clasificarse las organizaciones y participantes nacionales dentro de las categorías HP.</w:t>
      </w:r>
    </w:p>
    <w:p w:rsidR="00AF596B" w:rsidRPr="006B3DC1" w:rsidRDefault="00861660" w:rsidP="00D16812">
      <w:pPr>
        <w:pStyle w:val="NayeliSalud"/>
        <w:jc w:val="both"/>
        <w:rPr>
          <w:rFonts w:ascii="Montserrat" w:hAnsi="Montserrat"/>
          <w:sz w:val="22"/>
        </w:rPr>
      </w:pPr>
      <w:r w:rsidRPr="006B3DC1">
        <w:rPr>
          <w:rFonts w:ascii="Montserrat" w:hAnsi="Montserrat"/>
          <w:sz w:val="22"/>
        </w:rPr>
        <w:t xml:space="preserve">Un primer paso para iniciar con la clasificación, es </w:t>
      </w:r>
      <w:r w:rsidR="009E6C08" w:rsidRPr="006B3DC1">
        <w:rPr>
          <w:rFonts w:ascii="Montserrat" w:hAnsi="Montserrat"/>
          <w:sz w:val="22"/>
        </w:rPr>
        <w:t>identificar dos grandes grupos de proveedores, los primarios y los secundarios. Para los proveedores primarios, su actividad principal es la prestación de bienes y servicios de salud. Dentro del HP</w:t>
      </w:r>
      <w:r w:rsidR="001F2592" w:rsidRPr="006B3DC1">
        <w:rPr>
          <w:rFonts w:ascii="Montserrat" w:hAnsi="Montserrat"/>
          <w:sz w:val="22"/>
        </w:rPr>
        <w:t xml:space="preserve"> se agrupan en seis categorías (</w:t>
      </w:r>
      <w:r w:rsidR="009E6C08" w:rsidRPr="006B3DC1">
        <w:rPr>
          <w:rFonts w:ascii="Montserrat" w:hAnsi="Montserrat"/>
          <w:sz w:val="22"/>
        </w:rPr>
        <w:t>HP.1-HP.6). Los proveedores secundarios pre</w:t>
      </w:r>
      <w:r w:rsidR="00D0043A" w:rsidRPr="006B3DC1">
        <w:rPr>
          <w:rFonts w:ascii="Montserrat" w:hAnsi="Montserrat"/>
          <w:sz w:val="22"/>
        </w:rPr>
        <w:t>stan servicios de salud en adic</w:t>
      </w:r>
      <w:r w:rsidR="009E6C08" w:rsidRPr="006B3DC1">
        <w:rPr>
          <w:rFonts w:ascii="Montserrat" w:hAnsi="Montserrat"/>
          <w:sz w:val="22"/>
        </w:rPr>
        <w:t xml:space="preserve">ión a su actividad principal, la cual puede o no estar relacionada con la salud. </w:t>
      </w:r>
    </w:p>
    <w:p w:rsidR="00D16812" w:rsidRPr="006B3DC1" w:rsidRDefault="00D16812" w:rsidP="00AF596B">
      <w:pPr>
        <w:pStyle w:val="NayeliSalud"/>
        <w:jc w:val="both"/>
        <w:rPr>
          <w:rFonts w:ascii="Montserrat" w:hAnsi="Montserrat"/>
          <w:sz w:val="22"/>
        </w:rPr>
      </w:pPr>
    </w:p>
    <w:p w:rsidR="00C6145A" w:rsidRPr="00850A96" w:rsidRDefault="00C6145A" w:rsidP="00AF596B">
      <w:pPr>
        <w:pStyle w:val="NayeliSalud"/>
        <w:jc w:val="both"/>
        <w:rPr>
          <w:rFonts w:ascii="Montserrat" w:hAnsi="Montserrat"/>
          <w:b/>
          <w:color w:val="13322B" w:themeColor="accent3"/>
          <w:sz w:val="24"/>
          <w:szCs w:val="24"/>
        </w:rPr>
      </w:pPr>
      <w:r w:rsidRPr="00850A96">
        <w:rPr>
          <w:rFonts w:ascii="Montserrat" w:hAnsi="Montserrat"/>
          <w:b/>
          <w:color w:val="13322B" w:themeColor="accent3"/>
          <w:sz w:val="24"/>
          <w:szCs w:val="24"/>
        </w:rPr>
        <w:t>Estructura de proveedores de servicios de salud</w:t>
      </w:r>
    </w:p>
    <w:p w:rsidR="00917738" w:rsidRPr="006B3DC1" w:rsidRDefault="00D16812" w:rsidP="00AF596B">
      <w:pPr>
        <w:pStyle w:val="NayeliSalud"/>
        <w:jc w:val="both"/>
        <w:rPr>
          <w:rFonts w:ascii="Montserrat" w:hAnsi="Montserrat"/>
          <w:sz w:val="22"/>
        </w:rPr>
      </w:pPr>
      <w:r w:rsidRPr="006B3DC1">
        <w:rPr>
          <w:rFonts w:ascii="Montserrat" w:hAnsi="Montserrat"/>
          <w:sz w:val="22"/>
        </w:rPr>
        <w:t>Una de las condiciones previas para clasificar a los proveedores de servicios de salud en proveedores primarios y secundarios es lograr diferenciar las actividades de salud y no de salud que realizan, a partir de esto, se toma un enfoque funcional para poder cuantificar las que entran dentro de los límites del S</w:t>
      </w:r>
      <w:r w:rsidR="00A25936" w:rsidRPr="006B3DC1">
        <w:rPr>
          <w:rFonts w:ascii="Montserrat" w:hAnsi="Montserrat"/>
          <w:sz w:val="22"/>
        </w:rPr>
        <w:t>istema de Cuentas de Salud.</w:t>
      </w:r>
      <w:r w:rsidR="002E4A1C" w:rsidRPr="006B3DC1">
        <w:rPr>
          <w:rFonts w:ascii="Montserrat" w:hAnsi="Montserrat"/>
          <w:sz w:val="22"/>
        </w:rPr>
        <w:t xml:space="preserve"> </w:t>
      </w:r>
    </w:p>
    <w:p w:rsidR="00F065AA" w:rsidRPr="006B3DC1" w:rsidRDefault="002E4A1C" w:rsidP="00AF596B">
      <w:pPr>
        <w:pStyle w:val="NayeliSalud"/>
        <w:jc w:val="both"/>
        <w:rPr>
          <w:rFonts w:ascii="Montserrat" w:hAnsi="Montserrat"/>
          <w:sz w:val="22"/>
        </w:rPr>
      </w:pPr>
      <w:r w:rsidRPr="006B3DC1">
        <w:rPr>
          <w:rFonts w:ascii="Montserrat" w:hAnsi="Montserrat"/>
          <w:sz w:val="22"/>
        </w:rPr>
        <w:t xml:space="preserve">Para incluir o excluir determinadas actividades, se toma como referencia la clasificación funcional de salud ICHA-HC.  Los tipos de función y su modo de provisión, al referirse a determinadas características de los bienes y servicios de salud prestados, sirven de directriz para estructurar la clasificación HP y para clasificar diversos </w:t>
      </w:r>
      <w:r w:rsidR="00D34668" w:rsidRPr="006B3DC1">
        <w:rPr>
          <w:rFonts w:ascii="Montserrat" w:hAnsi="Montserrat"/>
          <w:sz w:val="22"/>
        </w:rPr>
        <w:t xml:space="preserve">proveedores nacionales de servicio de salud en categorías más homogéneas. </w:t>
      </w:r>
    </w:p>
    <w:p w:rsidR="001F2592" w:rsidRPr="006B3DC1" w:rsidRDefault="001F2592" w:rsidP="00AF596B">
      <w:pPr>
        <w:pStyle w:val="NayeliSalud"/>
        <w:jc w:val="both"/>
        <w:rPr>
          <w:rFonts w:ascii="Montserrat" w:hAnsi="Montserrat"/>
          <w:sz w:val="22"/>
        </w:rPr>
      </w:pPr>
      <w:r w:rsidRPr="006B3DC1">
        <w:rPr>
          <w:rFonts w:ascii="Montserrat" w:hAnsi="Montserrat"/>
          <w:sz w:val="22"/>
        </w:rPr>
        <w:t xml:space="preserve">En el </w:t>
      </w:r>
      <w:r w:rsidR="005C6659" w:rsidRPr="006B3DC1">
        <w:rPr>
          <w:rFonts w:ascii="Montserrat" w:hAnsi="Montserrat"/>
          <w:sz w:val="22"/>
        </w:rPr>
        <w:t>C</w:t>
      </w:r>
      <w:r w:rsidRPr="006B3DC1">
        <w:rPr>
          <w:rFonts w:ascii="Montserrat" w:hAnsi="Montserrat"/>
          <w:sz w:val="22"/>
        </w:rPr>
        <w:t>uadro 1 se</w:t>
      </w:r>
      <w:r w:rsidR="00A25936" w:rsidRPr="006B3DC1">
        <w:rPr>
          <w:rFonts w:ascii="Montserrat" w:hAnsi="Montserrat"/>
          <w:sz w:val="22"/>
        </w:rPr>
        <w:t xml:space="preserve"> </w:t>
      </w:r>
      <w:r w:rsidRPr="006B3DC1">
        <w:rPr>
          <w:rFonts w:ascii="Montserrat" w:hAnsi="Montserrat"/>
          <w:sz w:val="22"/>
        </w:rPr>
        <w:t xml:space="preserve">presenta la estructura completa del clasificador HP Proveedores de los servicios de Salud, se pueden identificar </w:t>
      </w:r>
      <w:r w:rsidR="00481245" w:rsidRPr="006B3DC1">
        <w:rPr>
          <w:rFonts w:ascii="Montserrat" w:hAnsi="Montserrat"/>
          <w:sz w:val="22"/>
        </w:rPr>
        <w:t xml:space="preserve">las categorías </w:t>
      </w:r>
      <w:r w:rsidR="000F1440" w:rsidRPr="006B3DC1">
        <w:rPr>
          <w:rFonts w:ascii="Montserrat" w:hAnsi="Montserrat"/>
          <w:sz w:val="22"/>
        </w:rPr>
        <w:t>a uno, dos y tres dígitos, dígitos, éstos describen las categorías menos agregadas a las más específicas.</w:t>
      </w:r>
      <w:r w:rsidR="00F065AA" w:rsidRPr="006B3DC1">
        <w:rPr>
          <w:rFonts w:ascii="Montserrat" w:hAnsi="Montserrat"/>
          <w:sz w:val="22"/>
        </w:rPr>
        <w:t xml:space="preserve"> En el Anexo se presentan las definiciones de este clasificador a un digito.</w:t>
      </w:r>
    </w:p>
    <w:p w:rsidR="00F065AA" w:rsidRPr="006B3DC1" w:rsidRDefault="00C328F2" w:rsidP="00C328F2">
      <w:pPr>
        <w:pStyle w:val="NayeliSalud"/>
        <w:tabs>
          <w:tab w:val="left" w:pos="7852"/>
        </w:tabs>
        <w:jc w:val="both"/>
        <w:rPr>
          <w:rFonts w:ascii="Montserrat" w:hAnsi="Montserrat"/>
          <w:sz w:val="22"/>
        </w:rPr>
      </w:pPr>
      <w:r w:rsidRPr="006B3DC1">
        <w:rPr>
          <w:rFonts w:ascii="Montserrat" w:hAnsi="Montserrat"/>
          <w:sz w:val="22"/>
        </w:rPr>
        <w:tab/>
      </w:r>
    </w:p>
    <w:p w:rsidR="00F065AA" w:rsidRDefault="00F065AA" w:rsidP="00AF596B">
      <w:pPr>
        <w:pStyle w:val="NayeliSalud"/>
        <w:jc w:val="both"/>
        <w:rPr>
          <w:rFonts w:ascii="Montserrat" w:hAnsi="Montserrat"/>
          <w:sz w:val="22"/>
        </w:rPr>
      </w:pPr>
    </w:p>
    <w:p w:rsidR="00850A96" w:rsidRPr="006B3DC1" w:rsidRDefault="00850A96" w:rsidP="00AF596B">
      <w:pPr>
        <w:pStyle w:val="NayeliSalud"/>
        <w:jc w:val="both"/>
        <w:rPr>
          <w:rFonts w:ascii="Montserrat" w:hAnsi="Montserrat"/>
          <w:sz w:val="22"/>
        </w:rPr>
      </w:pPr>
    </w:p>
    <w:p w:rsidR="00917738" w:rsidRDefault="00917738" w:rsidP="000F1440">
      <w:pPr>
        <w:pStyle w:val="NayeliSalud"/>
        <w:jc w:val="center"/>
        <w:rPr>
          <w:rFonts w:ascii="Montserrat" w:hAnsi="Montserrat"/>
          <w:b/>
          <w:sz w:val="22"/>
        </w:rPr>
      </w:pPr>
    </w:p>
    <w:p w:rsidR="000A20F8" w:rsidRDefault="000A20F8" w:rsidP="000F1440">
      <w:pPr>
        <w:pStyle w:val="NayeliSalud"/>
        <w:jc w:val="center"/>
        <w:rPr>
          <w:rFonts w:ascii="Montserrat" w:hAnsi="Montserrat"/>
          <w:b/>
          <w:sz w:val="22"/>
        </w:rPr>
      </w:pPr>
    </w:p>
    <w:p w:rsidR="000A20F8" w:rsidRPr="006B3DC1" w:rsidRDefault="000A20F8" w:rsidP="000F1440">
      <w:pPr>
        <w:pStyle w:val="NayeliSalud"/>
        <w:jc w:val="center"/>
        <w:rPr>
          <w:rFonts w:ascii="Montserrat" w:hAnsi="Montserrat"/>
          <w:b/>
          <w:sz w:val="22"/>
        </w:rPr>
      </w:pPr>
    </w:p>
    <w:p w:rsidR="000F1440" w:rsidRPr="006B3DC1" w:rsidRDefault="000F1440" w:rsidP="000F1440">
      <w:pPr>
        <w:pStyle w:val="NayeliSalud"/>
        <w:jc w:val="center"/>
        <w:rPr>
          <w:rFonts w:ascii="Montserrat" w:hAnsi="Montserrat"/>
          <w:b/>
          <w:color w:val="B8985B" w:themeColor="accent5" w:themeShade="BF"/>
          <w:sz w:val="22"/>
        </w:rPr>
      </w:pPr>
      <w:r w:rsidRPr="006B3DC1">
        <w:rPr>
          <w:rFonts w:ascii="Montserrat" w:hAnsi="Montserrat"/>
          <w:b/>
          <w:color w:val="B8985B" w:themeColor="accent5" w:themeShade="BF"/>
          <w:sz w:val="22"/>
        </w:rPr>
        <w:lastRenderedPageBreak/>
        <w:t>Cuadro 1: Clasificación de los Proveedores de Servicios de Salud (ICHA-HP)</w:t>
      </w:r>
    </w:p>
    <w:tbl>
      <w:tblPr>
        <w:tblW w:w="8080" w:type="dxa"/>
        <w:jc w:val="center"/>
        <w:tblCellMar>
          <w:left w:w="70" w:type="dxa"/>
          <w:right w:w="70" w:type="dxa"/>
        </w:tblCellMar>
        <w:tblLook w:val="04A0" w:firstRow="1" w:lastRow="0" w:firstColumn="1" w:lastColumn="0" w:noHBand="0" w:noVBand="1"/>
      </w:tblPr>
      <w:tblGrid>
        <w:gridCol w:w="859"/>
        <w:gridCol w:w="656"/>
        <w:gridCol w:w="789"/>
        <w:gridCol w:w="5956"/>
      </w:tblGrid>
      <w:tr w:rsidR="000F1440" w:rsidRPr="006B3DC1" w:rsidTr="006B3DC1">
        <w:trPr>
          <w:trHeight w:val="230"/>
          <w:jc w:val="center"/>
        </w:trPr>
        <w:tc>
          <w:tcPr>
            <w:tcW w:w="2124" w:type="dxa"/>
            <w:gridSpan w:val="3"/>
            <w:tcBorders>
              <w:top w:val="single" w:sz="8" w:space="0" w:color="auto"/>
              <w:left w:val="single" w:sz="8" w:space="0" w:color="auto"/>
              <w:bottom w:val="single" w:sz="8" w:space="0" w:color="auto"/>
              <w:right w:val="single" w:sz="4" w:space="0" w:color="808080"/>
            </w:tcBorders>
            <w:shd w:val="clear" w:color="auto" w:fill="285C4D" w:themeFill="accent1"/>
            <w:noWrap/>
            <w:vAlign w:val="center"/>
            <w:hideMark/>
          </w:tcPr>
          <w:p w:rsidR="000F1440" w:rsidRPr="006B3DC1" w:rsidRDefault="000F1440" w:rsidP="000F1440">
            <w:pPr>
              <w:spacing w:after="0" w:line="240" w:lineRule="auto"/>
              <w:jc w:val="center"/>
              <w:rPr>
                <w:rFonts w:ascii="Montserrat" w:eastAsia="Times New Roman" w:hAnsi="Montserrat" w:cs="Microsoft Sans Serif"/>
                <w:bCs/>
                <w:color w:val="FFFFFF"/>
                <w:sz w:val="16"/>
                <w:szCs w:val="16"/>
                <w:lang w:eastAsia="es-MX"/>
              </w:rPr>
            </w:pPr>
            <w:r w:rsidRPr="006B3DC1">
              <w:rPr>
                <w:rFonts w:ascii="Montserrat" w:eastAsia="Times New Roman" w:hAnsi="Montserrat" w:cs="Microsoft Sans Serif"/>
                <w:bCs/>
                <w:color w:val="FFFFFF"/>
                <w:sz w:val="16"/>
                <w:szCs w:val="16"/>
                <w:lang w:eastAsia="es-MX"/>
              </w:rPr>
              <w:t>Código</w:t>
            </w:r>
          </w:p>
        </w:tc>
        <w:tc>
          <w:tcPr>
            <w:tcW w:w="5956" w:type="dxa"/>
            <w:tcBorders>
              <w:top w:val="single" w:sz="8" w:space="0" w:color="auto"/>
              <w:left w:val="nil"/>
              <w:bottom w:val="single" w:sz="8" w:space="0" w:color="auto"/>
              <w:right w:val="single" w:sz="8" w:space="0" w:color="auto"/>
            </w:tcBorders>
            <w:shd w:val="clear" w:color="auto" w:fill="285C4D" w:themeFill="accent1"/>
            <w:noWrap/>
            <w:vAlign w:val="center"/>
            <w:hideMark/>
          </w:tcPr>
          <w:p w:rsidR="000F1440" w:rsidRPr="006B3DC1" w:rsidRDefault="000F1440" w:rsidP="000F1440">
            <w:pPr>
              <w:spacing w:after="0" w:line="240" w:lineRule="auto"/>
              <w:jc w:val="center"/>
              <w:rPr>
                <w:rFonts w:ascii="Montserrat" w:eastAsia="Times New Roman" w:hAnsi="Montserrat" w:cs="Microsoft Sans Serif"/>
                <w:bCs/>
                <w:color w:val="FFFFFF"/>
                <w:sz w:val="16"/>
                <w:szCs w:val="16"/>
                <w:lang w:eastAsia="es-MX"/>
              </w:rPr>
            </w:pPr>
            <w:r w:rsidRPr="006B3DC1">
              <w:rPr>
                <w:rFonts w:ascii="Montserrat" w:eastAsia="Times New Roman" w:hAnsi="Montserrat" w:cs="Microsoft Sans Serif"/>
                <w:bCs/>
                <w:color w:val="FFFFFF"/>
                <w:sz w:val="16"/>
                <w:szCs w:val="16"/>
                <w:lang w:eastAsia="es-MX"/>
              </w:rPr>
              <w:t>Denominación</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BFBFBF"/>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w:t>
            </w:r>
          </w:p>
        </w:tc>
        <w:tc>
          <w:tcPr>
            <w:tcW w:w="646" w:type="dxa"/>
            <w:tcBorders>
              <w:top w:val="nil"/>
              <w:left w:val="nil"/>
              <w:bottom w:val="single" w:sz="4" w:space="0" w:color="808080"/>
              <w:right w:val="single" w:sz="4" w:space="0" w:color="808080"/>
            </w:tcBorders>
            <w:shd w:val="clear" w:color="000000" w:fill="BFBFBF"/>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BFBFBF"/>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BFBFBF"/>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Gasto Total de los Proveedores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HP.1</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Hospitales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HP.1.1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Hospitales generales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HP.1.2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Hospital de salud mental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HP.1.3</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Hospitales especializados (que no sean de salud mental)</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HP.2</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Establecimientos de atención residencial de larga duración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HP.2.1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Atención de larga duración domiciliaria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HP.2.2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Hospitales de salud mental y adicciones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HP.2.9</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Otros establecimientos residenciales de salud de larga duración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HP.3</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Proveedores de atención ambulatoria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Consultorios médicos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HP.3.1.1</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Consultorios de médicos generales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HP.3.1.2</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Consultorios de médicos especialistas en salud mental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HP.3.1.3</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Consultorios de especialistas (que no sean especialistas en salud mental)</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Consultorios odontológicos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HP.3.3</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Otros profesionales de salud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Centros de salud ambulatoria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HP.3.4.1</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Centros de planificación familiar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HP.3.4.2</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Centros de salud mental ambulatoria y adicciones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HP.3.4.3</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Centros independientes de cirugía ambulatoria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HP.3.4.4</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Centros de diálisis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HP.3.4.9</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Todos los demás centros ambulatorios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HP.3.5</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Proveedores de atención domiciliaria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HP.4</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Proveedores de servicios auxiliares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HP.4.1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Proveedores de transporte de pacientes y rescate de emergencia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HP.4.2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Laboratorios médicos  y de diagnostico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HP.4.9</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Otros proveedores de servicios auxiliares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HP.5</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Minoristas y otros proveedores de bienes médicos</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HP.5.1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Farmacias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HP.5.2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Minoristas y otros proveedores de bienes médicos no perecederos </w:t>
            </w:r>
          </w:p>
        </w:tc>
      </w:tr>
      <w:tr w:rsidR="000F1440" w:rsidRPr="006B3DC1" w:rsidTr="006B3DC1">
        <w:trPr>
          <w:trHeight w:val="421"/>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HP.5.9</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Los demás proveedores misceláneos y otros proveedores de productos farmacéuticos y médicos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HP.6</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Proveedores de atención preventiva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HP.7</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Proveedores de financiamiento y administración del sistema de salud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HP.7.1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Agencias gubernamentales de administración del sistema de salud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HP.7.2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Agencias de administración de seguros sociales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HP.7.3</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Organismos privados de administración del sistema de salud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HP.7.9</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Otros organismos de administración de la salud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HP.8</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Resto de la economía </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HP.8.1</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Hogares como proveedores de atención domiciliaria </w:t>
            </w:r>
          </w:p>
        </w:tc>
      </w:tr>
      <w:tr w:rsidR="000F1440" w:rsidRPr="006B3DC1" w:rsidTr="006B3DC1">
        <w:trPr>
          <w:trHeight w:val="421"/>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HP.8.2</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La demás ramas de actividad como productores secundarios de servicios de salud</w:t>
            </w:r>
          </w:p>
        </w:tc>
      </w:tr>
      <w:tr w:rsidR="000F1440" w:rsidRPr="006B3DC1" w:rsidTr="006B3DC1">
        <w:trPr>
          <w:trHeight w:val="210"/>
          <w:jc w:val="center"/>
        </w:trPr>
        <w:tc>
          <w:tcPr>
            <w:tcW w:w="769" w:type="dxa"/>
            <w:tcBorders>
              <w:top w:val="nil"/>
              <w:left w:val="single" w:sz="8" w:space="0" w:color="auto"/>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646"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HP.8.9</w:t>
            </w:r>
          </w:p>
        </w:tc>
        <w:tc>
          <w:tcPr>
            <w:tcW w:w="709" w:type="dxa"/>
            <w:tcBorders>
              <w:top w:val="nil"/>
              <w:left w:val="nil"/>
              <w:bottom w:val="single" w:sz="4" w:space="0" w:color="808080"/>
              <w:right w:val="single" w:sz="4" w:space="0" w:color="808080"/>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w:t>
            </w:r>
          </w:p>
        </w:tc>
        <w:tc>
          <w:tcPr>
            <w:tcW w:w="5956" w:type="dxa"/>
            <w:tcBorders>
              <w:top w:val="nil"/>
              <w:left w:val="nil"/>
              <w:bottom w:val="single" w:sz="4" w:space="0" w:color="808080"/>
              <w:right w:val="single" w:sz="8" w:space="0" w:color="auto"/>
            </w:tcBorders>
            <w:shd w:val="clear" w:color="auto" w:fill="auto"/>
            <w:noWrap/>
            <w:vAlign w:val="center"/>
            <w:hideMark/>
          </w:tcPr>
          <w:p w:rsidR="000F1440" w:rsidRPr="006B3DC1" w:rsidRDefault="000F1440" w:rsidP="000F1440">
            <w:pPr>
              <w:spacing w:after="0" w:line="240" w:lineRule="auto"/>
              <w:rPr>
                <w:rFonts w:ascii="Montserrat" w:eastAsia="Times New Roman" w:hAnsi="Montserrat" w:cs="Microsoft Sans Serif"/>
                <w:color w:val="000000"/>
                <w:sz w:val="16"/>
                <w:szCs w:val="16"/>
                <w:lang w:eastAsia="es-MX"/>
              </w:rPr>
            </w:pPr>
            <w:r w:rsidRPr="006B3DC1">
              <w:rPr>
                <w:rFonts w:ascii="Montserrat" w:eastAsia="Times New Roman" w:hAnsi="Montserrat" w:cs="Microsoft Sans Serif"/>
                <w:color w:val="000000"/>
                <w:sz w:val="16"/>
                <w:szCs w:val="16"/>
                <w:lang w:eastAsia="es-MX"/>
              </w:rPr>
              <w:t xml:space="preserve">Otras ramas de actividad </w:t>
            </w:r>
          </w:p>
        </w:tc>
      </w:tr>
      <w:tr w:rsidR="000F1440" w:rsidRPr="006B3DC1" w:rsidTr="006B3DC1">
        <w:trPr>
          <w:trHeight w:val="220"/>
          <w:jc w:val="center"/>
        </w:trPr>
        <w:tc>
          <w:tcPr>
            <w:tcW w:w="769" w:type="dxa"/>
            <w:tcBorders>
              <w:top w:val="nil"/>
              <w:left w:val="single" w:sz="8" w:space="0" w:color="auto"/>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HP.9</w:t>
            </w:r>
          </w:p>
        </w:tc>
        <w:tc>
          <w:tcPr>
            <w:tcW w:w="646"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4" w:space="0" w:color="808080"/>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4" w:space="0" w:color="808080"/>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Resto del mundo </w:t>
            </w:r>
          </w:p>
        </w:tc>
      </w:tr>
      <w:tr w:rsidR="000F1440" w:rsidRPr="006B3DC1" w:rsidTr="006B3DC1">
        <w:trPr>
          <w:trHeight w:val="230"/>
          <w:jc w:val="center"/>
        </w:trPr>
        <w:tc>
          <w:tcPr>
            <w:tcW w:w="769" w:type="dxa"/>
            <w:tcBorders>
              <w:top w:val="nil"/>
              <w:left w:val="single" w:sz="8" w:space="0" w:color="auto"/>
              <w:bottom w:val="single" w:sz="8" w:space="0" w:color="auto"/>
              <w:right w:val="single" w:sz="4" w:space="0" w:color="808080"/>
            </w:tcBorders>
            <w:shd w:val="clear" w:color="000000" w:fill="F2F2F2"/>
            <w:noWrap/>
            <w:vAlign w:val="center"/>
            <w:hideMark/>
          </w:tcPr>
          <w:p w:rsidR="000F1440" w:rsidRPr="006B3DC1" w:rsidRDefault="000F1440" w:rsidP="000F1440">
            <w:pPr>
              <w:spacing w:after="0" w:line="240" w:lineRule="auto"/>
              <w:ind w:firstLineChars="200" w:firstLine="320"/>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HP.0</w:t>
            </w:r>
          </w:p>
        </w:tc>
        <w:tc>
          <w:tcPr>
            <w:tcW w:w="646" w:type="dxa"/>
            <w:tcBorders>
              <w:top w:val="nil"/>
              <w:left w:val="nil"/>
              <w:bottom w:val="single" w:sz="8" w:space="0" w:color="auto"/>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709" w:type="dxa"/>
            <w:tcBorders>
              <w:top w:val="nil"/>
              <w:left w:val="nil"/>
              <w:bottom w:val="single" w:sz="8" w:space="0" w:color="auto"/>
              <w:right w:val="single" w:sz="4" w:space="0" w:color="808080"/>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w:t>
            </w:r>
          </w:p>
        </w:tc>
        <w:tc>
          <w:tcPr>
            <w:tcW w:w="5956" w:type="dxa"/>
            <w:tcBorders>
              <w:top w:val="nil"/>
              <w:left w:val="nil"/>
              <w:bottom w:val="single" w:sz="8" w:space="0" w:color="auto"/>
              <w:right w:val="single" w:sz="8" w:space="0" w:color="auto"/>
            </w:tcBorders>
            <w:shd w:val="clear" w:color="000000" w:fill="F2F2F2"/>
            <w:noWrap/>
            <w:vAlign w:val="center"/>
            <w:hideMark/>
          </w:tcPr>
          <w:p w:rsidR="000F1440" w:rsidRPr="006B3DC1" w:rsidRDefault="000F1440" w:rsidP="000F1440">
            <w:pPr>
              <w:spacing w:after="0" w:line="240" w:lineRule="auto"/>
              <w:rPr>
                <w:rFonts w:ascii="Montserrat" w:eastAsia="Times New Roman" w:hAnsi="Montserrat" w:cs="Microsoft Sans Serif"/>
                <w:b/>
                <w:bCs/>
                <w:color w:val="000000"/>
                <w:sz w:val="16"/>
                <w:szCs w:val="16"/>
                <w:lang w:eastAsia="es-MX"/>
              </w:rPr>
            </w:pPr>
            <w:r w:rsidRPr="006B3DC1">
              <w:rPr>
                <w:rFonts w:ascii="Montserrat" w:eastAsia="Times New Roman" w:hAnsi="Montserrat" w:cs="Microsoft Sans Serif"/>
                <w:b/>
                <w:bCs/>
                <w:color w:val="000000"/>
                <w:sz w:val="16"/>
                <w:szCs w:val="16"/>
                <w:lang w:eastAsia="es-MX"/>
              </w:rPr>
              <w:t xml:space="preserve">Proveedores desconocidos </w:t>
            </w:r>
          </w:p>
        </w:tc>
      </w:tr>
    </w:tbl>
    <w:p w:rsidR="00A6518F" w:rsidRPr="006B3DC1" w:rsidRDefault="00A6518F" w:rsidP="00A6518F">
      <w:pPr>
        <w:rPr>
          <w:rFonts w:ascii="Montserrat" w:hAnsi="Montserrat"/>
          <w:b/>
        </w:rPr>
      </w:pPr>
    </w:p>
    <w:p w:rsidR="00A6518F" w:rsidRPr="006B3DC1" w:rsidRDefault="00A6518F" w:rsidP="00A6518F">
      <w:pPr>
        <w:rPr>
          <w:rFonts w:ascii="Montserrat" w:hAnsi="Montserrat"/>
          <w:b/>
        </w:rPr>
      </w:pPr>
    </w:p>
    <w:p w:rsidR="00A6518F" w:rsidRDefault="00A6518F" w:rsidP="00A6518F">
      <w:pPr>
        <w:rPr>
          <w:rFonts w:ascii="Montserrat" w:hAnsi="Montserrat"/>
          <w:b/>
        </w:rPr>
      </w:pPr>
    </w:p>
    <w:p w:rsidR="00850A96" w:rsidRPr="006B3DC1" w:rsidRDefault="00850A96" w:rsidP="00A6518F">
      <w:pPr>
        <w:rPr>
          <w:rFonts w:ascii="Montserrat" w:hAnsi="Montserrat"/>
          <w:b/>
        </w:rPr>
      </w:pPr>
    </w:p>
    <w:p w:rsidR="00604F92" w:rsidRPr="00850A96" w:rsidRDefault="00A6518F" w:rsidP="00A6518F">
      <w:pPr>
        <w:rPr>
          <w:rFonts w:ascii="Montserrat" w:hAnsi="Montserrat"/>
          <w:b/>
          <w:color w:val="13322B" w:themeColor="accent3"/>
          <w:sz w:val="24"/>
          <w:szCs w:val="24"/>
        </w:rPr>
      </w:pPr>
      <w:r w:rsidRPr="00850A96">
        <w:rPr>
          <w:rFonts w:ascii="Montserrat" w:hAnsi="Montserrat"/>
          <w:b/>
          <w:color w:val="13322B" w:themeColor="accent3"/>
          <w:sz w:val="24"/>
          <w:szCs w:val="24"/>
        </w:rPr>
        <w:lastRenderedPageBreak/>
        <w:t>Codificación</w:t>
      </w:r>
      <w:r w:rsidR="00F065AA" w:rsidRPr="00850A96">
        <w:rPr>
          <w:rFonts w:ascii="Montserrat" w:hAnsi="Montserrat"/>
          <w:b/>
          <w:color w:val="13322B" w:themeColor="accent3"/>
          <w:sz w:val="24"/>
          <w:szCs w:val="24"/>
        </w:rPr>
        <w:t xml:space="preserve"> </w:t>
      </w:r>
      <w:r w:rsidR="0037410B" w:rsidRPr="00850A96">
        <w:rPr>
          <w:rFonts w:ascii="Montserrat" w:hAnsi="Montserrat"/>
          <w:b/>
          <w:color w:val="13322B" w:themeColor="accent3"/>
          <w:sz w:val="24"/>
          <w:szCs w:val="24"/>
        </w:rPr>
        <w:t xml:space="preserve">del Clasificador </w:t>
      </w:r>
      <w:r w:rsidR="00882E26" w:rsidRPr="00850A96">
        <w:rPr>
          <w:rFonts w:ascii="Montserrat" w:hAnsi="Montserrat"/>
          <w:b/>
          <w:color w:val="13322B" w:themeColor="accent3"/>
          <w:sz w:val="24"/>
          <w:szCs w:val="24"/>
        </w:rPr>
        <w:t>de los Proveedores de Servicios de Salud</w:t>
      </w:r>
    </w:p>
    <w:p w:rsidR="00CB50CE" w:rsidRPr="006B3DC1" w:rsidRDefault="006E6CD1" w:rsidP="00882E26">
      <w:pPr>
        <w:jc w:val="both"/>
        <w:rPr>
          <w:rFonts w:ascii="Montserrat" w:hAnsi="Montserrat"/>
          <w:b/>
        </w:rPr>
      </w:pPr>
      <w:r w:rsidRPr="006B3DC1">
        <w:rPr>
          <w:rFonts w:ascii="Montserrat" w:hAnsi="Montserrat"/>
        </w:rPr>
        <w:t xml:space="preserve">El criterio que utilizaremos para realizar la captura del clasificador HP </w:t>
      </w:r>
      <w:r w:rsidR="00C14CC9" w:rsidRPr="006B3DC1">
        <w:rPr>
          <w:rFonts w:ascii="Montserrat" w:hAnsi="Montserrat"/>
        </w:rPr>
        <w:t>partirá</w:t>
      </w:r>
      <w:r w:rsidRPr="006B3DC1">
        <w:rPr>
          <w:rFonts w:ascii="Montserrat" w:hAnsi="Montserrat"/>
        </w:rPr>
        <w:t xml:space="preserve"> de</w:t>
      </w:r>
      <w:r w:rsidR="00C14CC9" w:rsidRPr="006B3DC1">
        <w:rPr>
          <w:rFonts w:ascii="Montserrat" w:hAnsi="Montserrat"/>
        </w:rPr>
        <w:t xml:space="preserve"> la</w:t>
      </w:r>
      <w:r w:rsidRPr="006B3DC1">
        <w:rPr>
          <w:rFonts w:ascii="Montserrat" w:hAnsi="Montserrat"/>
        </w:rPr>
        <w:t xml:space="preserve"> información que se capturó en el Clasificador por Funciones de Atención</w:t>
      </w:r>
      <w:r w:rsidR="00882E26" w:rsidRPr="006B3DC1">
        <w:rPr>
          <w:rFonts w:ascii="Montserrat" w:hAnsi="Montserrat"/>
        </w:rPr>
        <w:t xml:space="preserve"> (CFA), </w:t>
      </w:r>
      <w:r w:rsidRPr="006B3DC1">
        <w:rPr>
          <w:rFonts w:ascii="Montserrat" w:hAnsi="Montserrat"/>
        </w:rPr>
        <w:t>ya que permite identificar la tipología de la unidad</w:t>
      </w:r>
      <w:r w:rsidR="00C14CC9" w:rsidRPr="006B3DC1">
        <w:rPr>
          <w:rFonts w:ascii="Montserrat" w:hAnsi="Montserrat"/>
        </w:rPr>
        <w:t xml:space="preserve"> y los servicios de salud que se ofrecen. Los pasos a seguir para realizar la captura son los siguientes:</w:t>
      </w:r>
      <w:r w:rsidR="00882E26" w:rsidRPr="006B3DC1">
        <w:rPr>
          <w:rFonts w:ascii="Montserrat" w:hAnsi="Montserrat"/>
          <w:b/>
        </w:rPr>
        <w:t xml:space="preserve"> </w:t>
      </w:r>
    </w:p>
    <w:p w:rsidR="00892E73" w:rsidRPr="006B3DC1" w:rsidRDefault="00892E73" w:rsidP="00C42410">
      <w:pPr>
        <w:pStyle w:val="NayeliSalud"/>
        <w:jc w:val="both"/>
        <w:rPr>
          <w:rFonts w:ascii="Montserrat" w:hAnsi="Montserrat"/>
          <w:b/>
          <w:sz w:val="22"/>
        </w:rPr>
      </w:pPr>
    </w:p>
    <w:p w:rsidR="000A20F8" w:rsidRPr="000A20F8" w:rsidRDefault="00C14CC9" w:rsidP="000A20F8">
      <w:pPr>
        <w:pStyle w:val="NayeliSalud"/>
        <w:numPr>
          <w:ilvl w:val="0"/>
          <w:numId w:val="1"/>
        </w:numPr>
        <w:ind w:left="720"/>
        <w:jc w:val="both"/>
        <w:rPr>
          <w:rFonts w:ascii="Montserrat" w:hAnsi="Montserrat"/>
          <w:b/>
          <w:sz w:val="22"/>
        </w:rPr>
      </w:pPr>
      <w:r w:rsidRPr="006B3DC1">
        <w:rPr>
          <w:rFonts w:ascii="Montserrat" w:hAnsi="Montserrat"/>
          <w:sz w:val="22"/>
        </w:rPr>
        <w:t xml:space="preserve">Identificar en qué funciones </w:t>
      </w:r>
      <w:r w:rsidR="00454076" w:rsidRPr="006B3DC1">
        <w:rPr>
          <w:rFonts w:ascii="Montserrat" w:hAnsi="Montserrat"/>
          <w:sz w:val="22"/>
        </w:rPr>
        <w:t>se codificó en SICUENTAS CFA (Columnas S-V)</w:t>
      </w:r>
      <w:r w:rsidRPr="006B3DC1">
        <w:rPr>
          <w:rFonts w:ascii="Montserrat" w:hAnsi="Montserrat"/>
          <w:sz w:val="22"/>
        </w:rPr>
        <w:t xml:space="preserve"> </w:t>
      </w:r>
      <w:r w:rsidR="00A6518F" w:rsidRPr="006B3DC1">
        <w:rPr>
          <w:rFonts w:ascii="Montserrat" w:hAnsi="Montserrat"/>
          <w:sz w:val="22"/>
        </w:rPr>
        <w:t xml:space="preserve">la </w:t>
      </w:r>
      <w:r w:rsidRPr="006B3DC1">
        <w:rPr>
          <w:rFonts w:ascii="Montserrat" w:hAnsi="Montserrat"/>
          <w:sz w:val="22"/>
        </w:rPr>
        <w:t>información dentro del clasificador por funciones de atención</w:t>
      </w:r>
      <w:r w:rsidR="006155B0" w:rsidRPr="006B3DC1">
        <w:rPr>
          <w:rFonts w:ascii="Montserrat" w:hAnsi="Montserrat"/>
          <w:sz w:val="22"/>
        </w:rPr>
        <w:t xml:space="preserve">. </w:t>
      </w:r>
      <w:r w:rsidR="00892E73" w:rsidRPr="006B3DC1">
        <w:rPr>
          <w:rFonts w:ascii="Montserrat" w:hAnsi="Montserrat"/>
          <w:sz w:val="22"/>
        </w:rPr>
        <w:t>Véase</w:t>
      </w:r>
      <w:r w:rsidR="00A6518F" w:rsidRPr="006B3DC1">
        <w:rPr>
          <w:rFonts w:ascii="Montserrat" w:hAnsi="Montserrat"/>
          <w:sz w:val="22"/>
        </w:rPr>
        <w:t xml:space="preserve"> el ejemplo de la Figura</w:t>
      </w:r>
      <w:r w:rsidR="006155B0" w:rsidRPr="006B3DC1">
        <w:rPr>
          <w:rFonts w:ascii="Montserrat" w:hAnsi="Montserrat"/>
          <w:sz w:val="22"/>
        </w:rPr>
        <w:t xml:space="preserve"> No 1</w:t>
      </w:r>
      <w:r w:rsidRPr="006B3DC1">
        <w:rPr>
          <w:rFonts w:ascii="Montserrat" w:hAnsi="Montserrat"/>
          <w:sz w:val="22"/>
        </w:rPr>
        <w:t>.</w:t>
      </w:r>
    </w:p>
    <w:p w:rsidR="00A6518F" w:rsidRPr="006B3DC1" w:rsidRDefault="00A6518F" w:rsidP="00A6518F">
      <w:pPr>
        <w:pStyle w:val="NayeliSalud"/>
        <w:ind w:left="720"/>
        <w:jc w:val="center"/>
        <w:rPr>
          <w:rFonts w:ascii="Montserrat" w:hAnsi="Montserrat"/>
          <w:b/>
          <w:color w:val="B8985B" w:themeColor="accent5" w:themeShade="BF"/>
          <w:sz w:val="22"/>
        </w:rPr>
      </w:pPr>
      <w:r w:rsidRPr="006B3DC1">
        <w:rPr>
          <w:rFonts w:ascii="Montserrat" w:hAnsi="Montserrat"/>
          <w:b/>
          <w:color w:val="B8985B" w:themeColor="accent5" w:themeShade="BF"/>
          <w:sz w:val="22"/>
        </w:rPr>
        <w:t>Figura No. 1: Codificación CFA</w:t>
      </w:r>
    </w:p>
    <w:p w:rsidR="00C42410" w:rsidRPr="006B3DC1" w:rsidRDefault="006B3DC1" w:rsidP="006B3DC1">
      <w:pPr>
        <w:pStyle w:val="NayeliSalud"/>
        <w:ind w:left="360"/>
        <w:jc w:val="center"/>
        <w:rPr>
          <w:rFonts w:ascii="Montserrat" w:hAnsi="Montserrat"/>
          <w:sz w:val="22"/>
        </w:rPr>
      </w:pPr>
      <w:r>
        <w:rPr>
          <w:noProof/>
          <w:lang w:eastAsia="es-MX"/>
        </w:rPr>
        <w:drawing>
          <wp:inline distT="0" distB="0" distL="0" distR="0" wp14:anchorId="5E91C8D8" wp14:editId="2BFF177F">
            <wp:extent cx="3157268" cy="2094188"/>
            <wp:effectExtent l="304800" t="323850" r="328930" b="3257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196707" cy="2120347"/>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C42410" w:rsidRPr="006B3DC1" w:rsidRDefault="008B21F4" w:rsidP="00C42410">
      <w:pPr>
        <w:pStyle w:val="NayeliSalud"/>
        <w:numPr>
          <w:ilvl w:val="0"/>
          <w:numId w:val="1"/>
        </w:numPr>
        <w:ind w:left="720"/>
        <w:jc w:val="both"/>
        <w:rPr>
          <w:rFonts w:ascii="Montserrat" w:hAnsi="Montserrat"/>
          <w:b/>
          <w:sz w:val="22"/>
        </w:rPr>
      </w:pPr>
      <w:r w:rsidRPr="006B3DC1">
        <w:rPr>
          <w:rFonts w:ascii="Montserrat" w:hAnsi="Montserrat"/>
          <w:sz w:val="22"/>
        </w:rPr>
        <w:t>Consultar e identificar la equivalencia entre la función de atención que reportó información y la clave del clasificador de los proveedores de salud</w:t>
      </w:r>
      <w:r w:rsidR="00C42410" w:rsidRPr="006B3DC1">
        <w:rPr>
          <w:rFonts w:ascii="Montserrat" w:hAnsi="Montserrat"/>
          <w:sz w:val="22"/>
        </w:rPr>
        <w:t xml:space="preserve"> (Véase Cuadro No 2</w:t>
      </w:r>
      <w:r w:rsidR="00F4014A" w:rsidRPr="006B3DC1">
        <w:rPr>
          <w:rFonts w:ascii="Montserrat" w:hAnsi="Montserrat"/>
          <w:sz w:val="22"/>
        </w:rPr>
        <w:t>)</w:t>
      </w:r>
      <w:r w:rsidRPr="006B3DC1">
        <w:rPr>
          <w:rFonts w:ascii="Montserrat" w:hAnsi="Montserrat"/>
          <w:sz w:val="22"/>
        </w:rPr>
        <w:t>.</w:t>
      </w:r>
      <w:r w:rsidR="00186C32" w:rsidRPr="006B3DC1">
        <w:rPr>
          <w:rFonts w:ascii="Montserrat" w:hAnsi="Montserrat"/>
          <w:sz w:val="22"/>
        </w:rPr>
        <w:t xml:space="preserve"> La manera en que se leerá y utilizara el cuadro es de izquierda a derecha. Se </w:t>
      </w:r>
      <w:r w:rsidR="00A6518F" w:rsidRPr="006B3DC1">
        <w:rPr>
          <w:rFonts w:ascii="Montserrat" w:hAnsi="Montserrat"/>
          <w:sz w:val="22"/>
        </w:rPr>
        <w:t>identificará</w:t>
      </w:r>
      <w:r w:rsidR="00186C32" w:rsidRPr="006B3DC1">
        <w:rPr>
          <w:rFonts w:ascii="Montserrat" w:hAnsi="Montserrat"/>
          <w:sz w:val="22"/>
        </w:rPr>
        <w:t xml:space="preserve"> el último dígito de clasificación HC y a éste se identifica la codificación correspondiente</w:t>
      </w:r>
      <w:r w:rsidR="00A6518F" w:rsidRPr="006B3DC1">
        <w:rPr>
          <w:rFonts w:ascii="Montserrat" w:hAnsi="Montserrat"/>
          <w:sz w:val="22"/>
        </w:rPr>
        <w:t xml:space="preserve"> en las columnas HP (Ver figura 2)</w:t>
      </w:r>
    </w:p>
    <w:p w:rsidR="00C42410" w:rsidRPr="006B3DC1" w:rsidRDefault="00C42410" w:rsidP="00C42410">
      <w:pPr>
        <w:pStyle w:val="NayeliSalud"/>
        <w:jc w:val="both"/>
        <w:rPr>
          <w:rFonts w:ascii="Montserrat" w:hAnsi="Montserrat"/>
          <w:sz w:val="22"/>
        </w:rPr>
      </w:pPr>
    </w:p>
    <w:p w:rsidR="00C42410" w:rsidRPr="006B3DC1" w:rsidRDefault="00C42410" w:rsidP="00C42410">
      <w:pPr>
        <w:pStyle w:val="NayeliSalud"/>
        <w:jc w:val="both"/>
        <w:rPr>
          <w:rFonts w:ascii="Montserrat" w:hAnsi="Montserrat"/>
          <w:sz w:val="22"/>
        </w:rPr>
      </w:pPr>
    </w:p>
    <w:p w:rsidR="00C42410" w:rsidRPr="006B3DC1" w:rsidRDefault="00C42410" w:rsidP="00C42410">
      <w:pPr>
        <w:pStyle w:val="NayeliSalud"/>
        <w:jc w:val="both"/>
        <w:rPr>
          <w:rFonts w:ascii="Montserrat" w:hAnsi="Montserrat"/>
          <w:sz w:val="22"/>
        </w:rPr>
      </w:pPr>
    </w:p>
    <w:p w:rsidR="00C42410" w:rsidRPr="006B3DC1" w:rsidRDefault="00C42410" w:rsidP="00C42410">
      <w:pPr>
        <w:pStyle w:val="NayeliSalud"/>
        <w:jc w:val="both"/>
        <w:rPr>
          <w:rFonts w:ascii="Montserrat" w:hAnsi="Montserrat"/>
          <w:sz w:val="22"/>
        </w:rPr>
      </w:pPr>
    </w:p>
    <w:p w:rsidR="00A6518F" w:rsidRPr="006B3DC1" w:rsidRDefault="00A6518F" w:rsidP="00C42410">
      <w:pPr>
        <w:pStyle w:val="NayeliSalud"/>
        <w:jc w:val="both"/>
        <w:rPr>
          <w:rFonts w:ascii="Montserrat" w:hAnsi="Montserrat"/>
          <w:sz w:val="22"/>
        </w:rPr>
      </w:pPr>
    </w:p>
    <w:p w:rsidR="00A6518F" w:rsidRPr="006B3DC1" w:rsidRDefault="00A6518F" w:rsidP="00C42410">
      <w:pPr>
        <w:pStyle w:val="NayeliSalud"/>
        <w:jc w:val="both"/>
        <w:rPr>
          <w:rFonts w:ascii="Montserrat" w:hAnsi="Montserrat"/>
          <w:sz w:val="22"/>
        </w:rPr>
      </w:pPr>
    </w:p>
    <w:p w:rsidR="00C42410" w:rsidRPr="006B3DC1" w:rsidRDefault="00C42410" w:rsidP="00C42410">
      <w:pPr>
        <w:jc w:val="center"/>
        <w:rPr>
          <w:rFonts w:ascii="Montserrat" w:hAnsi="Montserrat"/>
          <w:b/>
          <w:color w:val="B8985B" w:themeColor="accent5" w:themeShade="BF"/>
        </w:rPr>
      </w:pPr>
      <w:r w:rsidRPr="006B3DC1">
        <w:rPr>
          <w:rFonts w:ascii="Montserrat" w:hAnsi="Montserrat"/>
          <w:b/>
          <w:color w:val="B8985B" w:themeColor="accent5" w:themeShade="BF"/>
        </w:rPr>
        <w:lastRenderedPageBreak/>
        <w:t>Cuadro 2: Equivalencias del Clasificador por Funciones de Atención y el Clasificador de los Proveedores de Atención.</w:t>
      </w:r>
    </w:p>
    <w:tbl>
      <w:tblPr>
        <w:tblW w:w="10854" w:type="dxa"/>
        <w:jc w:val="center"/>
        <w:tblCellMar>
          <w:left w:w="70" w:type="dxa"/>
          <w:right w:w="70" w:type="dxa"/>
        </w:tblCellMar>
        <w:tblLook w:val="04A0" w:firstRow="1" w:lastRow="0" w:firstColumn="1" w:lastColumn="0" w:noHBand="0" w:noVBand="1"/>
      </w:tblPr>
      <w:tblGrid>
        <w:gridCol w:w="1204"/>
        <w:gridCol w:w="912"/>
        <w:gridCol w:w="1299"/>
        <w:gridCol w:w="2534"/>
        <w:gridCol w:w="848"/>
        <w:gridCol w:w="881"/>
        <w:gridCol w:w="881"/>
        <w:gridCol w:w="2295"/>
      </w:tblGrid>
      <w:tr w:rsidR="006B3DC1" w:rsidRPr="00850A96" w:rsidTr="00850A96">
        <w:trPr>
          <w:trHeight w:val="131"/>
          <w:jc w:val="center"/>
        </w:trPr>
        <w:tc>
          <w:tcPr>
            <w:tcW w:w="1204" w:type="dxa"/>
            <w:tcBorders>
              <w:top w:val="single" w:sz="4" w:space="0" w:color="FFFFFF"/>
              <w:left w:val="single" w:sz="4" w:space="0" w:color="FFFFFF"/>
              <w:bottom w:val="single" w:sz="4" w:space="0" w:color="FFFFFF"/>
              <w:right w:val="single" w:sz="4" w:space="0" w:color="FFFFFF"/>
            </w:tcBorders>
            <w:shd w:val="clear" w:color="000000" w:fill="FF000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proofErr w:type="spellStart"/>
            <w:r w:rsidRPr="00850A96">
              <w:rPr>
                <w:rFonts w:ascii="Montserrat" w:eastAsia="Times New Roman" w:hAnsi="Montserrat" w:cs="Times New Roman"/>
                <w:color w:val="FFFFFF"/>
                <w:sz w:val="14"/>
                <w:szCs w:val="14"/>
                <w:lang w:eastAsia="es-MX"/>
              </w:rPr>
              <w:t>Cve_Función</w:t>
            </w:r>
            <w:proofErr w:type="spellEnd"/>
          </w:p>
        </w:tc>
        <w:tc>
          <w:tcPr>
            <w:tcW w:w="912" w:type="dxa"/>
            <w:tcBorders>
              <w:top w:val="single" w:sz="4" w:space="0" w:color="FFFFFF"/>
              <w:left w:val="nil"/>
              <w:bottom w:val="single" w:sz="4" w:space="0" w:color="FFFFFF"/>
              <w:right w:val="single" w:sz="4" w:space="0" w:color="FFFFFF"/>
            </w:tcBorders>
            <w:shd w:val="clear" w:color="000000" w:fill="FF000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proofErr w:type="spellStart"/>
            <w:r w:rsidRPr="00850A96">
              <w:rPr>
                <w:rFonts w:ascii="Montserrat" w:eastAsia="Times New Roman" w:hAnsi="Montserrat" w:cs="Times New Roman"/>
                <w:color w:val="FFFFFF"/>
                <w:sz w:val="14"/>
                <w:szCs w:val="14"/>
                <w:lang w:eastAsia="es-MX"/>
              </w:rPr>
              <w:t>Cve_Subf</w:t>
            </w:r>
            <w:proofErr w:type="spellEnd"/>
          </w:p>
        </w:tc>
        <w:tc>
          <w:tcPr>
            <w:tcW w:w="1299" w:type="dxa"/>
            <w:tcBorders>
              <w:top w:val="single" w:sz="4" w:space="0" w:color="FFFFFF"/>
              <w:left w:val="nil"/>
              <w:bottom w:val="single" w:sz="4" w:space="0" w:color="FFFFFF"/>
              <w:right w:val="single" w:sz="4" w:space="0" w:color="FFFFFF"/>
            </w:tcBorders>
            <w:shd w:val="clear" w:color="000000" w:fill="FF000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proofErr w:type="spellStart"/>
            <w:r w:rsidRPr="00850A96">
              <w:rPr>
                <w:rFonts w:ascii="Montserrat" w:eastAsia="Times New Roman" w:hAnsi="Montserrat" w:cs="Times New Roman"/>
                <w:color w:val="FFFFFF"/>
                <w:sz w:val="14"/>
                <w:szCs w:val="14"/>
                <w:lang w:eastAsia="es-MX"/>
              </w:rPr>
              <w:t>Cve_Actividad</w:t>
            </w:r>
            <w:proofErr w:type="spellEnd"/>
          </w:p>
        </w:tc>
        <w:tc>
          <w:tcPr>
            <w:tcW w:w="2534" w:type="dxa"/>
            <w:tcBorders>
              <w:top w:val="single" w:sz="4" w:space="0" w:color="FFFFFF"/>
              <w:left w:val="nil"/>
              <w:bottom w:val="single" w:sz="4" w:space="0" w:color="FFFFFF"/>
              <w:right w:val="single" w:sz="4" w:space="0" w:color="FFFFFF"/>
            </w:tcBorders>
            <w:shd w:val="clear" w:color="000000" w:fill="80808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Descripción</w:t>
            </w:r>
          </w:p>
        </w:tc>
        <w:tc>
          <w:tcPr>
            <w:tcW w:w="848" w:type="dxa"/>
            <w:tcBorders>
              <w:top w:val="single" w:sz="4" w:space="0" w:color="FFFFFF"/>
              <w:left w:val="nil"/>
              <w:bottom w:val="single" w:sz="4" w:space="0" w:color="FFFFFF"/>
              <w:right w:val="single" w:sz="4" w:space="0" w:color="FFFFFF"/>
            </w:tcBorders>
            <w:shd w:val="clear" w:color="000000" w:fill="00B05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CveP_D1</w:t>
            </w:r>
          </w:p>
        </w:tc>
        <w:tc>
          <w:tcPr>
            <w:tcW w:w="881" w:type="dxa"/>
            <w:tcBorders>
              <w:top w:val="single" w:sz="4" w:space="0" w:color="FFFFFF"/>
              <w:left w:val="nil"/>
              <w:bottom w:val="single" w:sz="4" w:space="0" w:color="FFFFFF"/>
              <w:right w:val="single" w:sz="4" w:space="0" w:color="FFFFFF"/>
            </w:tcBorders>
            <w:shd w:val="clear" w:color="000000" w:fill="00B05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CveP_D2</w:t>
            </w:r>
          </w:p>
        </w:tc>
        <w:tc>
          <w:tcPr>
            <w:tcW w:w="881" w:type="dxa"/>
            <w:tcBorders>
              <w:top w:val="single" w:sz="4" w:space="0" w:color="FFFFFF"/>
              <w:left w:val="nil"/>
              <w:bottom w:val="single" w:sz="4" w:space="0" w:color="FFFFFF"/>
              <w:right w:val="single" w:sz="4" w:space="0" w:color="FFFFFF"/>
            </w:tcBorders>
            <w:shd w:val="clear" w:color="000000" w:fill="00B05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CveP_D3</w:t>
            </w:r>
          </w:p>
        </w:tc>
        <w:tc>
          <w:tcPr>
            <w:tcW w:w="2295" w:type="dxa"/>
            <w:tcBorders>
              <w:top w:val="single" w:sz="4" w:space="0" w:color="FFFFFF"/>
              <w:left w:val="nil"/>
              <w:bottom w:val="single" w:sz="4" w:space="0" w:color="FFFFFF"/>
              <w:right w:val="single" w:sz="4" w:space="0" w:color="FFFFFF"/>
            </w:tcBorders>
            <w:shd w:val="clear" w:color="000000" w:fill="808080"/>
            <w:noWrap/>
            <w:vAlign w:val="center"/>
            <w:hideMark/>
          </w:tcPr>
          <w:p w:rsidR="006B3DC1" w:rsidRPr="00850A96" w:rsidRDefault="006B3DC1" w:rsidP="006B3DC1">
            <w:pPr>
              <w:spacing w:after="0" w:line="240" w:lineRule="auto"/>
              <w:jc w:val="center"/>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xml:space="preserve">Descripción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HC.1.1</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HC.1.1.1</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Atención curativa hospitalaria general</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HP.1.1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jc w:val="center"/>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Hospitales generales </w:t>
            </w:r>
          </w:p>
        </w:tc>
      </w:tr>
      <w:tr w:rsidR="006B3DC1" w:rsidRPr="00850A96" w:rsidTr="00850A96">
        <w:trPr>
          <w:trHeight w:val="131"/>
          <w:jc w:val="center"/>
        </w:trPr>
        <w:tc>
          <w:tcPr>
            <w:tcW w:w="1204"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                                </w:t>
            </w:r>
          </w:p>
        </w:tc>
        <w:tc>
          <w:tcPr>
            <w:tcW w:w="912" w:type="dxa"/>
            <w:tcBorders>
              <w:top w:val="nil"/>
              <w:left w:val="nil"/>
              <w:bottom w:val="nil"/>
              <w:right w:val="nil"/>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HC.1.1                              </w:t>
            </w:r>
          </w:p>
        </w:tc>
        <w:tc>
          <w:tcPr>
            <w:tcW w:w="1299"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HC.1.1.2         </w:t>
            </w:r>
          </w:p>
        </w:tc>
        <w:tc>
          <w:tcPr>
            <w:tcW w:w="2534"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Atención curativa hospitalaria especializada                         </w:t>
            </w:r>
          </w:p>
        </w:tc>
        <w:tc>
          <w:tcPr>
            <w:tcW w:w="848" w:type="dxa"/>
            <w:tcBorders>
              <w:top w:val="nil"/>
              <w:left w:val="nil"/>
              <w:bottom w:val="nil"/>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HP.1</w:t>
            </w:r>
          </w:p>
        </w:tc>
        <w:tc>
          <w:tcPr>
            <w:tcW w:w="881" w:type="dxa"/>
            <w:tcBorders>
              <w:top w:val="nil"/>
              <w:left w:val="nil"/>
              <w:bottom w:val="nil"/>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HP.1.3</w:t>
            </w:r>
          </w:p>
        </w:tc>
        <w:tc>
          <w:tcPr>
            <w:tcW w:w="881" w:type="dxa"/>
            <w:tcBorders>
              <w:top w:val="nil"/>
              <w:left w:val="nil"/>
              <w:bottom w:val="nil"/>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vMerge w:val="restart"/>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Hospitales especializados (que no sean de salud mental)</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HC.2</w:t>
            </w:r>
          </w:p>
        </w:tc>
        <w:tc>
          <w:tcPr>
            <w:tcW w:w="912" w:type="dxa"/>
            <w:tcBorders>
              <w:top w:val="nil"/>
              <w:left w:val="nil"/>
              <w:bottom w:val="dashed" w:sz="4" w:space="0" w:color="003300"/>
              <w:right w:val="nil"/>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HC.2.1 </w:t>
            </w:r>
          </w:p>
        </w:tc>
        <w:tc>
          <w:tcPr>
            <w:tcW w:w="1299"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Rehabilitación hospitalaria                                   </w:t>
            </w:r>
          </w:p>
        </w:tc>
        <w:tc>
          <w:tcPr>
            <w:tcW w:w="848" w:type="dxa"/>
            <w:tcBorders>
              <w:top w:val="nil"/>
              <w:left w:val="nil"/>
              <w:bottom w:val="dashed" w:sz="4" w:space="0" w:color="003300"/>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dashed" w:sz="4" w:space="0" w:color="003300"/>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dashed" w:sz="4" w:space="0" w:color="003300"/>
              <w:right w:val="single" w:sz="4" w:space="0" w:color="003300"/>
            </w:tcBorders>
            <w:shd w:val="clear" w:color="000000" w:fill="FFFFFF"/>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HC.1.3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HC.1.3.1</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Servicios médicos y de diagnóstico básicos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HP.3.1.1</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Consultorios de médicos generales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HC.1.3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HC.1.3.3</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Servicios médicos especializados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HP.3.1.3</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Consultorios de especialistas (que no sean especialistas en salud mental)</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HC.1.3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HC.1.3.2</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Atención odontológica ambulatoria</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HP.3.2</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Consultorios odontológicos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HC.2</w:t>
            </w:r>
          </w:p>
        </w:tc>
        <w:tc>
          <w:tcPr>
            <w:tcW w:w="912"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HC.2.3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Rehabilitación ambulatoria                                             </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HP.3.4</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HP.3.4.9</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Todos los demás centros ambulatorios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HC.1.4</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Servicios de atención curativa domiciliaria</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HP.3.5</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 atención domiciliaria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HC.4.3</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Transportación de pacientes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 transporte de pacientes y rescate de emergencia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HC.4.1</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Laboratorio clínico</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HP.4.2</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Laboratorios médicos  y de diagnostico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HC.4.2</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850A96" w:rsidP="006B3DC1">
            <w:pPr>
              <w:spacing w:after="0" w:line="240" w:lineRule="auto"/>
              <w:rPr>
                <w:rFonts w:ascii="Montserrat" w:eastAsia="Times New Roman" w:hAnsi="Montserrat" w:cs="Times New Roman"/>
                <w:color w:val="000000"/>
                <w:sz w:val="14"/>
                <w:szCs w:val="14"/>
                <w:lang w:eastAsia="es-MX"/>
              </w:rPr>
            </w:pPr>
            <w:r>
              <w:rPr>
                <w:rFonts w:ascii="Montserrat" w:eastAsia="Times New Roman" w:hAnsi="Montserrat" w:cs="Times New Roman"/>
                <w:color w:val="000000"/>
                <w:sz w:val="14"/>
                <w:szCs w:val="14"/>
                <w:lang w:eastAsia="es-MX"/>
              </w:rPr>
              <w:t>Image</w:t>
            </w:r>
            <w:r w:rsidR="006B3DC1" w:rsidRPr="00850A96">
              <w:rPr>
                <w:rFonts w:ascii="Montserrat" w:eastAsia="Times New Roman" w:hAnsi="Montserrat" w:cs="Times New Roman"/>
                <w:color w:val="000000"/>
                <w:sz w:val="14"/>
                <w:szCs w:val="14"/>
                <w:lang w:eastAsia="es-MX"/>
              </w:rPr>
              <w:t>nología</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HP.4.9</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Otros proveedores de servicios auxiliares </w:t>
            </w:r>
          </w:p>
        </w:tc>
      </w:tr>
      <w:tr w:rsidR="006B3DC1" w:rsidRPr="00850A96" w:rsidTr="00850A96">
        <w:trPr>
          <w:trHeight w:val="396"/>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HC.5.1</w:t>
            </w:r>
          </w:p>
        </w:tc>
        <w:tc>
          <w:tcPr>
            <w:tcW w:w="1299"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 5.1.1                                                 HC 5.1.2                                       HC 5.1.3</w:t>
            </w: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Medicamentos de prescripción                                                                                            Medicamentos de venta libre                                                                                                                    Otros bienes médicos perecederos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Farmacias </w:t>
            </w:r>
          </w:p>
        </w:tc>
      </w:tr>
      <w:tr w:rsidR="006B3DC1" w:rsidRPr="00850A96" w:rsidTr="00850A96">
        <w:trPr>
          <w:trHeight w:val="396"/>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HC.5.2</w:t>
            </w:r>
          </w:p>
        </w:tc>
        <w:tc>
          <w:tcPr>
            <w:tcW w:w="1299"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HC.5.2.1                                                    HC.5.2.2                                      HC.5.2.3</w:t>
            </w: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Lentes y otros productos ópticos                                                                                                        Aparatos auditivos                                                                                                                                                          Otros aparatos ortopédicos y prótesis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HP.5.2</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Minoristas y otros proveedores de bienes médicos no perecederos </w:t>
            </w:r>
          </w:p>
        </w:tc>
      </w:tr>
      <w:tr w:rsidR="006B3DC1" w:rsidRPr="00850A96" w:rsidTr="00850A96">
        <w:trPr>
          <w:trHeight w:val="264"/>
          <w:jc w:val="center"/>
        </w:trPr>
        <w:tc>
          <w:tcPr>
            <w:tcW w:w="1204" w:type="dxa"/>
            <w:tcBorders>
              <w:top w:val="nil"/>
              <w:left w:val="single" w:sz="4" w:space="0" w:color="003300"/>
              <w:bottom w:val="dashed" w:sz="4" w:space="0" w:color="003300"/>
              <w:right w:val="nil"/>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w:t>
            </w:r>
          </w:p>
        </w:tc>
        <w:tc>
          <w:tcPr>
            <w:tcW w:w="912"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HC.5.2</w:t>
            </w:r>
          </w:p>
        </w:tc>
        <w:tc>
          <w:tcPr>
            <w:tcW w:w="1299"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HC.5.2.9</w:t>
            </w: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Los demás bienes médicos duraderos, incluyendo dispositivos técnicos</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HP.5.9</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Los demás proveedores misceláneos y otros proveedores de productos farmacéuticos y médicos </w:t>
            </w:r>
          </w:p>
        </w:tc>
      </w:tr>
      <w:tr w:rsidR="006B3DC1" w:rsidRPr="00850A96" w:rsidTr="00850A96">
        <w:trPr>
          <w:trHeight w:val="131"/>
          <w:jc w:val="center"/>
        </w:trPr>
        <w:tc>
          <w:tcPr>
            <w:tcW w:w="1204" w:type="dxa"/>
            <w:vMerge w:val="restart"/>
            <w:tcBorders>
              <w:top w:val="dashed" w:sz="4" w:space="0" w:color="003300"/>
              <w:left w:val="single" w:sz="4" w:space="0" w:color="13322B" w:themeColor="accent3"/>
              <w:bottom w:val="dashed" w:sz="4" w:space="0" w:color="003300"/>
              <w:right w:val="nil"/>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HC.6 </w:t>
            </w:r>
          </w:p>
        </w:tc>
        <w:tc>
          <w:tcPr>
            <w:tcW w:w="912"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HC.6.1                  </w:t>
            </w:r>
          </w:p>
        </w:tc>
        <w:tc>
          <w:tcPr>
            <w:tcW w:w="1299" w:type="dxa"/>
            <w:vMerge w:val="restart"/>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r w:rsidRPr="00850A96">
              <w:rPr>
                <w:rFonts w:ascii="Montserrat" w:eastAsia="Times New Roman" w:hAnsi="Montserrat" w:cs="Times New Roman"/>
                <w:b/>
                <w:bCs/>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*Información, educación y programas de prevención                       </w:t>
            </w:r>
          </w:p>
        </w:tc>
        <w:tc>
          <w:tcPr>
            <w:tcW w:w="848"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2295" w:type="dxa"/>
            <w:vMerge w:val="restart"/>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 atención preventiva </w:t>
            </w:r>
          </w:p>
        </w:tc>
      </w:tr>
      <w:tr w:rsidR="006B3DC1" w:rsidRPr="00850A96" w:rsidTr="00850A96">
        <w:trPr>
          <w:trHeight w:val="131"/>
          <w:jc w:val="center"/>
        </w:trPr>
        <w:tc>
          <w:tcPr>
            <w:tcW w:w="1204" w:type="dxa"/>
            <w:vMerge/>
            <w:tcBorders>
              <w:top w:val="nil"/>
              <w:left w:val="single" w:sz="4" w:space="0" w:color="13322B" w:themeColor="accent3"/>
              <w:bottom w:val="dashed" w:sz="4" w:space="0" w:color="003300"/>
              <w:right w:val="nil"/>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c>
          <w:tcPr>
            <w:tcW w:w="912"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HC.6.2</w:t>
            </w:r>
          </w:p>
        </w:tc>
        <w:tc>
          <w:tcPr>
            <w:tcW w:w="1299"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*Programas de vacunación     </w:t>
            </w:r>
          </w:p>
        </w:tc>
        <w:tc>
          <w:tcPr>
            <w:tcW w:w="848"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264"/>
          <w:jc w:val="center"/>
        </w:trPr>
        <w:tc>
          <w:tcPr>
            <w:tcW w:w="1204" w:type="dxa"/>
            <w:vMerge/>
            <w:tcBorders>
              <w:top w:val="nil"/>
              <w:left w:val="single" w:sz="4" w:space="0" w:color="13322B" w:themeColor="accent3"/>
              <w:bottom w:val="dashed" w:sz="4" w:space="0" w:color="003300"/>
              <w:right w:val="nil"/>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c>
          <w:tcPr>
            <w:tcW w:w="912"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HC.6.3 </w:t>
            </w:r>
          </w:p>
        </w:tc>
        <w:tc>
          <w:tcPr>
            <w:tcW w:w="1299"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*Programas de detección temprana de enfermedades                       </w:t>
            </w:r>
          </w:p>
        </w:tc>
        <w:tc>
          <w:tcPr>
            <w:tcW w:w="848"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131"/>
          <w:jc w:val="center"/>
        </w:trPr>
        <w:tc>
          <w:tcPr>
            <w:tcW w:w="1204" w:type="dxa"/>
            <w:vMerge/>
            <w:tcBorders>
              <w:top w:val="nil"/>
              <w:left w:val="single" w:sz="4" w:space="0" w:color="13322B" w:themeColor="accent3"/>
              <w:bottom w:val="dashed" w:sz="4" w:space="0" w:color="003300"/>
              <w:right w:val="nil"/>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c>
          <w:tcPr>
            <w:tcW w:w="912"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HC.6.4 </w:t>
            </w:r>
          </w:p>
        </w:tc>
        <w:tc>
          <w:tcPr>
            <w:tcW w:w="1299"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*Programas de monitoreo de las condiciones de salud                   </w:t>
            </w:r>
          </w:p>
        </w:tc>
        <w:tc>
          <w:tcPr>
            <w:tcW w:w="848"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HP.6</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131"/>
          <w:jc w:val="center"/>
        </w:trPr>
        <w:tc>
          <w:tcPr>
            <w:tcW w:w="1204" w:type="dxa"/>
            <w:vMerge/>
            <w:tcBorders>
              <w:top w:val="nil"/>
              <w:left w:val="single" w:sz="4" w:space="0" w:color="13322B" w:themeColor="accent3"/>
              <w:bottom w:val="dashed" w:sz="4" w:space="0" w:color="003300"/>
              <w:right w:val="nil"/>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c>
          <w:tcPr>
            <w:tcW w:w="912" w:type="dxa"/>
            <w:tcBorders>
              <w:top w:val="nil"/>
              <w:left w:val="single" w:sz="4" w:space="0" w:color="003300"/>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HC.6.5 </w:t>
            </w:r>
          </w:p>
        </w:tc>
        <w:tc>
          <w:tcPr>
            <w:tcW w:w="1299"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*Vigilancia epidemiológica y de riesgos, y programas de control de enfermedades                                                                   </w:t>
            </w:r>
          </w:p>
        </w:tc>
        <w:tc>
          <w:tcPr>
            <w:tcW w:w="848"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nil"/>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131"/>
          <w:jc w:val="center"/>
        </w:trPr>
        <w:tc>
          <w:tcPr>
            <w:tcW w:w="1204" w:type="dxa"/>
            <w:vMerge/>
            <w:tcBorders>
              <w:top w:val="nil"/>
              <w:left w:val="single" w:sz="4" w:space="0" w:color="13322B" w:themeColor="accent3"/>
              <w:bottom w:val="dashed" w:sz="4" w:space="0" w:color="003300"/>
              <w:right w:val="nil"/>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c>
          <w:tcPr>
            <w:tcW w:w="912"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HC.6.6</w:t>
            </w:r>
          </w:p>
        </w:tc>
        <w:tc>
          <w:tcPr>
            <w:tcW w:w="1299"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b/>
                <w:bCs/>
                <w:color w:val="000000"/>
                <w:sz w:val="14"/>
                <w:szCs w:val="14"/>
                <w:lang w:eastAsia="es-MX"/>
              </w:rPr>
            </w:pP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  *Programas de respuesta a emergencias y desastres                </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FFFFFF"/>
                <w:sz w:val="14"/>
                <w:szCs w:val="14"/>
                <w:lang w:eastAsia="es-MX"/>
              </w:rPr>
            </w:pPr>
            <w:r w:rsidRPr="00850A96">
              <w:rPr>
                <w:rFonts w:ascii="Montserrat" w:eastAsia="Times New Roman" w:hAnsi="Montserrat" w:cs="Times New Roman"/>
                <w:color w:val="FFFFFF"/>
                <w:sz w:val="14"/>
                <w:szCs w:val="14"/>
                <w:lang w:eastAsia="es-MX"/>
              </w:rPr>
              <w:t> </w:t>
            </w:r>
          </w:p>
        </w:tc>
        <w:tc>
          <w:tcPr>
            <w:tcW w:w="2295" w:type="dxa"/>
            <w:vMerge/>
            <w:tcBorders>
              <w:top w:val="nil"/>
              <w:left w:val="single" w:sz="4" w:space="0" w:color="003300"/>
              <w:bottom w:val="dashed" w:sz="4" w:space="0" w:color="003300"/>
              <w:right w:val="single" w:sz="4" w:space="0" w:color="003300"/>
            </w:tcBorders>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p>
        </w:tc>
      </w:tr>
      <w:tr w:rsidR="006B3DC1" w:rsidRPr="00850A96" w:rsidTr="00850A96">
        <w:trPr>
          <w:trHeight w:val="131"/>
          <w:jc w:val="center"/>
        </w:trPr>
        <w:tc>
          <w:tcPr>
            <w:tcW w:w="1204" w:type="dxa"/>
            <w:tcBorders>
              <w:top w:val="dashed" w:sz="4" w:space="0" w:color="003300"/>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HC.7                           </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HC.7.1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Gobierno y administración del sistema de salud                              </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HP.7</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HP.7.1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Agencias gubernamentales de administración del sistema de salud </w:t>
            </w:r>
          </w:p>
        </w:tc>
      </w:tr>
      <w:tr w:rsidR="006B3DC1" w:rsidRPr="00850A96" w:rsidTr="00850A96">
        <w:trPr>
          <w:trHeight w:val="131"/>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HC.7                           </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HC.7.2</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Administración del financiamiento de la sanidad</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HP.7</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HP.7.1</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Agencias gubernamentales de administración del sistema de salud </w:t>
            </w:r>
          </w:p>
        </w:tc>
      </w:tr>
      <w:tr w:rsidR="006B3DC1" w:rsidRPr="00850A96" w:rsidTr="00850A96">
        <w:trPr>
          <w:trHeight w:val="264"/>
          <w:jc w:val="center"/>
        </w:trPr>
        <w:tc>
          <w:tcPr>
            <w:tcW w:w="1204" w:type="dxa"/>
            <w:tcBorders>
              <w:top w:val="nil"/>
              <w:left w:val="single" w:sz="4" w:space="0" w:color="003300"/>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HCR.1</w:t>
            </w:r>
          </w:p>
        </w:tc>
        <w:tc>
          <w:tcPr>
            <w:tcW w:w="912"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HCR.1.1</w:t>
            </w:r>
            <w:r w:rsidRPr="00850A96">
              <w:rPr>
                <w:rFonts w:ascii="Montserrat" w:eastAsia="Times New Roman" w:hAnsi="Montserrat" w:cs="Times New Roman"/>
                <w:color w:val="000000"/>
                <w:sz w:val="14"/>
                <w:szCs w:val="14"/>
                <w:lang w:eastAsia="es-MX"/>
              </w:rPr>
              <w:br/>
              <w:t>HCR.1.2</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Atención social de largo plazo en especie                                                    Atención social de largo plazo en efectivo</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HP.0</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desconocidos </w:t>
            </w:r>
          </w:p>
        </w:tc>
      </w:tr>
      <w:tr w:rsidR="006B3DC1" w:rsidRPr="00850A96" w:rsidTr="00850A96">
        <w:trPr>
          <w:trHeight w:val="396"/>
          <w:jc w:val="center"/>
        </w:trPr>
        <w:tc>
          <w:tcPr>
            <w:tcW w:w="1204" w:type="dxa"/>
            <w:tcBorders>
              <w:top w:val="nil"/>
              <w:left w:val="single" w:sz="4" w:space="0" w:color="003300"/>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HKR.3                HKR.4                             HKR.5</w:t>
            </w:r>
          </w:p>
        </w:tc>
        <w:tc>
          <w:tcPr>
            <w:tcW w:w="912"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1299"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dashed" w:sz="4" w:space="0" w:color="003300"/>
              <w:right w:val="single" w:sz="4" w:space="0" w:color="003300"/>
            </w:tcBorders>
            <w:shd w:val="clear" w:color="000000" w:fill="FFFFFF"/>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Asociaciones públicas-privadas                                                                    Investigación y desarrollo en salud                                                                                   Educación y capacitación del personal en salud</w:t>
            </w:r>
          </w:p>
        </w:tc>
        <w:tc>
          <w:tcPr>
            <w:tcW w:w="848"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HP.0</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dashed"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desconocidos </w:t>
            </w:r>
          </w:p>
        </w:tc>
      </w:tr>
      <w:tr w:rsidR="006B3DC1" w:rsidRPr="00850A96" w:rsidTr="00850A96">
        <w:trPr>
          <w:trHeight w:val="131"/>
          <w:jc w:val="center"/>
        </w:trPr>
        <w:tc>
          <w:tcPr>
            <w:tcW w:w="1204" w:type="dxa"/>
            <w:tcBorders>
              <w:top w:val="nil"/>
              <w:left w:val="single" w:sz="4" w:space="0" w:color="003300"/>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HCR.2</w:t>
            </w:r>
          </w:p>
        </w:tc>
        <w:tc>
          <w:tcPr>
            <w:tcW w:w="912"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1299"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534"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Promoción de la salud con un enfoque multisectorial</w:t>
            </w:r>
          </w:p>
        </w:tc>
        <w:tc>
          <w:tcPr>
            <w:tcW w:w="848"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HP.0</w:t>
            </w:r>
          </w:p>
        </w:tc>
        <w:tc>
          <w:tcPr>
            <w:tcW w:w="881"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881"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w:t>
            </w:r>
          </w:p>
        </w:tc>
        <w:tc>
          <w:tcPr>
            <w:tcW w:w="2295" w:type="dxa"/>
            <w:tcBorders>
              <w:top w:val="nil"/>
              <w:left w:val="nil"/>
              <w:bottom w:val="single" w:sz="4" w:space="0" w:color="003300"/>
              <w:right w:val="single" w:sz="4" w:space="0" w:color="003300"/>
            </w:tcBorders>
            <w:shd w:val="clear" w:color="000000" w:fill="FFFFFF"/>
            <w:noWrap/>
            <w:vAlign w:val="center"/>
            <w:hideMark/>
          </w:tcPr>
          <w:p w:rsidR="006B3DC1" w:rsidRPr="00850A96" w:rsidRDefault="006B3DC1" w:rsidP="006B3DC1">
            <w:pPr>
              <w:spacing w:after="0" w:line="240" w:lineRule="auto"/>
              <w:rPr>
                <w:rFonts w:ascii="Montserrat" w:eastAsia="Times New Roman" w:hAnsi="Montserrat" w:cs="Times New Roman"/>
                <w:color w:val="000000"/>
                <w:sz w:val="14"/>
                <w:szCs w:val="14"/>
                <w:lang w:eastAsia="es-MX"/>
              </w:rPr>
            </w:pPr>
            <w:r w:rsidRPr="00850A96">
              <w:rPr>
                <w:rFonts w:ascii="Montserrat" w:eastAsia="Times New Roman" w:hAnsi="Montserrat" w:cs="Times New Roman"/>
                <w:color w:val="000000"/>
                <w:sz w:val="14"/>
                <w:szCs w:val="14"/>
                <w:lang w:eastAsia="es-MX"/>
              </w:rPr>
              <w:t xml:space="preserve">Proveedores desconocidos </w:t>
            </w:r>
          </w:p>
        </w:tc>
      </w:tr>
    </w:tbl>
    <w:p w:rsidR="00C42410" w:rsidRPr="006B3DC1" w:rsidRDefault="00C42410" w:rsidP="00C42410">
      <w:pPr>
        <w:rPr>
          <w:rFonts w:ascii="Montserrat" w:hAnsi="Montserrat"/>
          <w:b/>
        </w:rPr>
      </w:pPr>
    </w:p>
    <w:p w:rsidR="00850A96" w:rsidRDefault="00850A96" w:rsidP="00A6518F">
      <w:pPr>
        <w:pStyle w:val="NayeliSalud"/>
        <w:jc w:val="center"/>
        <w:rPr>
          <w:rFonts w:ascii="Montserrat" w:hAnsi="Montserrat"/>
          <w:b/>
          <w:color w:val="B8985B" w:themeColor="accent5" w:themeShade="BF"/>
          <w:sz w:val="22"/>
        </w:rPr>
      </w:pPr>
    </w:p>
    <w:p w:rsidR="00A6518F" w:rsidRDefault="00A6518F" w:rsidP="00A6518F">
      <w:pPr>
        <w:pStyle w:val="NayeliSalud"/>
        <w:jc w:val="center"/>
        <w:rPr>
          <w:rFonts w:ascii="Montserrat" w:hAnsi="Montserrat"/>
          <w:b/>
          <w:color w:val="B8985B" w:themeColor="accent5" w:themeShade="BF"/>
          <w:sz w:val="22"/>
        </w:rPr>
      </w:pPr>
      <w:r w:rsidRPr="006B3DC1">
        <w:rPr>
          <w:rFonts w:ascii="Montserrat" w:hAnsi="Montserrat"/>
          <w:b/>
          <w:color w:val="B8985B" w:themeColor="accent5" w:themeShade="BF"/>
          <w:sz w:val="22"/>
        </w:rPr>
        <w:lastRenderedPageBreak/>
        <w:t xml:space="preserve">Figura No. 2: </w:t>
      </w:r>
      <w:r w:rsidR="00385061">
        <w:rPr>
          <w:rFonts w:ascii="Montserrat" w:hAnsi="Montserrat"/>
          <w:b/>
          <w:color w:val="B8985B" w:themeColor="accent5" w:themeShade="BF"/>
          <w:sz w:val="22"/>
        </w:rPr>
        <w:t>Asignación de Claves HP según equivalencia CFA=HP</w:t>
      </w:r>
    </w:p>
    <w:p w:rsidR="00385061" w:rsidRPr="006B3DC1" w:rsidRDefault="00385061" w:rsidP="00A6518F">
      <w:pPr>
        <w:pStyle w:val="NayeliSalud"/>
        <w:jc w:val="center"/>
        <w:rPr>
          <w:rFonts w:ascii="Montserrat" w:hAnsi="Montserrat"/>
          <w:b/>
          <w:color w:val="B8985B" w:themeColor="accent5" w:themeShade="BF"/>
          <w:sz w:val="22"/>
        </w:rPr>
      </w:pPr>
      <w:r w:rsidRPr="009E1C3E">
        <w:rPr>
          <w:rFonts w:ascii="Montserrat" w:hAnsi="Montserrat"/>
          <w:noProof/>
          <w:lang w:eastAsia="es-MX"/>
        </w:rPr>
        <mc:AlternateContent>
          <mc:Choice Requires="wps">
            <w:drawing>
              <wp:anchor distT="0" distB="0" distL="114300" distR="114300" simplePos="0" relativeHeight="251678720" behindDoc="0" locked="0" layoutInCell="1" allowOverlap="1" wp14:anchorId="19EFAE08" wp14:editId="1AF42F31">
                <wp:simplePos x="0" y="0"/>
                <wp:positionH relativeFrom="column">
                  <wp:posOffset>6048375</wp:posOffset>
                </wp:positionH>
                <wp:positionV relativeFrom="paragraph">
                  <wp:posOffset>716280</wp:posOffset>
                </wp:positionV>
                <wp:extent cx="390525" cy="2619375"/>
                <wp:effectExtent l="95250" t="57150" r="104775" b="66675"/>
                <wp:wrapNone/>
                <wp:docPr id="6" name="Flecha curvada hacia la izquierda 6"/>
                <wp:cNvGraphicFramePr/>
                <a:graphic xmlns:a="http://schemas.openxmlformats.org/drawingml/2006/main">
                  <a:graphicData uri="http://schemas.microsoft.com/office/word/2010/wordprocessingShape">
                    <wps:wsp>
                      <wps:cNvSpPr/>
                      <wps:spPr>
                        <a:xfrm>
                          <a:off x="0" y="0"/>
                          <a:ext cx="390525" cy="2619375"/>
                        </a:xfrm>
                        <a:prstGeom prst="curvedLeftArrow">
                          <a:avLst>
                            <a:gd name="adj1" fmla="val 50000"/>
                            <a:gd name="adj2" fmla="val 113922"/>
                            <a:gd name="adj3" fmla="val 25000"/>
                          </a:avLst>
                        </a:prstGeom>
                        <a:solidFill>
                          <a:schemeClr val="accent1"/>
                        </a:solidFill>
                        <a:ln/>
                      </wps:spPr>
                      <wps:style>
                        <a:lnRef idx="0">
                          <a:schemeClr val="dk1"/>
                        </a:lnRef>
                        <a:fillRef idx="3">
                          <a:schemeClr val="dk1"/>
                        </a:fillRef>
                        <a:effectRef idx="3">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D724E0"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Flecha curvada hacia la izquierda 6" o:spid="_x0000_s1026" type="#_x0000_t103" style="position:absolute;margin-left:476.25pt;margin-top:56.4pt;width:30.75pt;height:20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" adj="17931,20571,5400" fillcolor="#285c4d [3204]" stroked="f">
                <v:shadow on="t" color="black" opacity="41943f" origin=",.5" offset="0"/>
              </v:shape>
            </w:pict>
          </mc:Fallback>
        </mc:AlternateContent>
      </w:r>
      <w:r>
        <w:rPr>
          <w:noProof/>
          <w:lang w:eastAsia="es-MX"/>
        </w:rPr>
        <w:drawing>
          <wp:inline distT="0" distB="0" distL="0" distR="0" wp14:anchorId="0348C685" wp14:editId="19F493FE">
            <wp:extent cx="5727940" cy="1935453"/>
            <wp:effectExtent l="323850" t="323850" r="330200" b="33210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7278" cy="1945366"/>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r>
        <w:rPr>
          <w:noProof/>
          <w:lang w:eastAsia="es-MX"/>
        </w:rPr>
        <w:drawing>
          <wp:inline distT="0" distB="0" distL="0" distR="0" wp14:anchorId="56DE292D" wp14:editId="23DE9325">
            <wp:extent cx="5727600" cy="1970567"/>
            <wp:effectExtent l="323850" t="323850" r="330835" b="31559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27600" cy="1970567"/>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F55346" w:rsidRPr="006B3DC1" w:rsidRDefault="00F55346" w:rsidP="00850A96">
      <w:pPr>
        <w:pStyle w:val="NayeliSalud"/>
        <w:jc w:val="center"/>
        <w:rPr>
          <w:rFonts w:ascii="Montserrat" w:hAnsi="Montserrat"/>
          <w:b/>
          <w:sz w:val="22"/>
        </w:rPr>
      </w:pPr>
    </w:p>
    <w:p w:rsidR="00BF0D14" w:rsidRPr="006B3DC1" w:rsidRDefault="00F4014A" w:rsidP="00BF0D14">
      <w:pPr>
        <w:pStyle w:val="NayeliSalud"/>
        <w:numPr>
          <w:ilvl w:val="0"/>
          <w:numId w:val="1"/>
        </w:numPr>
        <w:ind w:left="720"/>
        <w:jc w:val="both"/>
        <w:rPr>
          <w:rFonts w:ascii="Montserrat" w:hAnsi="Montserrat"/>
          <w:sz w:val="22"/>
        </w:rPr>
      </w:pPr>
      <w:r w:rsidRPr="006B3DC1">
        <w:rPr>
          <w:rFonts w:ascii="Montserrat" w:hAnsi="Montserrat"/>
          <w:sz w:val="22"/>
        </w:rPr>
        <w:t xml:space="preserve">La única excepción son los </w:t>
      </w:r>
      <w:r w:rsidR="000D2C9C">
        <w:rPr>
          <w:rFonts w:ascii="Montserrat" w:hAnsi="Montserrat"/>
          <w:sz w:val="22"/>
        </w:rPr>
        <w:t xml:space="preserve">Hospitales de Psiquiatría, </w:t>
      </w:r>
      <w:r w:rsidRPr="006B3DC1">
        <w:rPr>
          <w:rFonts w:ascii="Montserrat" w:hAnsi="Montserrat"/>
          <w:sz w:val="22"/>
        </w:rPr>
        <w:t>y</w:t>
      </w:r>
      <w:r w:rsidR="00522672" w:rsidRPr="006B3DC1">
        <w:rPr>
          <w:rFonts w:ascii="Montserrat" w:hAnsi="Montserrat"/>
          <w:sz w:val="22"/>
        </w:rPr>
        <w:t xml:space="preserve"> cualquier otro hospital o</w:t>
      </w:r>
      <w:r w:rsidRPr="006B3DC1">
        <w:rPr>
          <w:rFonts w:ascii="Montserrat" w:hAnsi="Montserrat"/>
          <w:sz w:val="22"/>
        </w:rPr>
        <w:t xml:space="preserve"> consultorios </w:t>
      </w:r>
      <w:r w:rsidR="00522672" w:rsidRPr="006B3DC1">
        <w:rPr>
          <w:rFonts w:ascii="Montserrat" w:hAnsi="Montserrat"/>
          <w:sz w:val="22"/>
        </w:rPr>
        <w:t>de salud mental</w:t>
      </w:r>
      <w:r w:rsidR="000D2C9C">
        <w:rPr>
          <w:rFonts w:ascii="Montserrat" w:hAnsi="Montserrat"/>
          <w:sz w:val="22"/>
        </w:rPr>
        <w:t>, o desintoxicación</w:t>
      </w:r>
      <w:r w:rsidR="00522672" w:rsidRPr="006B3DC1">
        <w:rPr>
          <w:rFonts w:ascii="Montserrat" w:hAnsi="Montserrat"/>
          <w:sz w:val="22"/>
        </w:rPr>
        <w:t xml:space="preserve">. En este caso, </w:t>
      </w:r>
      <w:r w:rsidR="005D5C83" w:rsidRPr="006B3DC1">
        <w:rPr>
          <w:rFonts w:ascii="Montserrat" w:hAnsi="Montserrat"/>
          <w:sz w:val="22"/>
        </w:rPr>
        <w:t>todas las partidas</w:t>
      </w:r>
      <w:r w:rsidR="000D2C9C">
        <w:rPr>
          <w:rFonts w:ascii="Montserrat" w:hAnsi="Montserrat"/>
          <w:sz w:val="22"/>
        </w:rPr>
        <w:t>,</w:t>
      </w:r>
      <w:r w:rsidR="005D5C83" w:rsidRPr="006B3DC1">
        <w:rPr>
          <w:rFonts w:ascii="Montserrat" w:hAnsi="Montserrat"/>
          <w:sz w:val="22"/>
        </w:rPr>
        <w:t xml:space="preserve"> </w:t>
      </w:r>
      <w:r w:rsidR="000D2C9C">
        <w:rPr>
          <w:rFonts w:ascii="Montserrat" w:hAnsi="Montserrat"/>
          <w:sz w:val="22"/>
        </w:rPr>
        <w:t xml:space="preserve">incluyendo las pertenecientes </w:t>
      </w:r>
      <w:r w:rsidR="005D5C83" w:rsidRPr="006B3DC1">
        <w:rPr>
          <w:rFonts w:ascii="Montserrat" w:hAnsi="Montserrat"/>
          <w:sz w:val="22"/>
        </w:rPr>
        <w:t xml:space="preserve">a los capítulos 5000, 6000 y 9000 (gasto de inversión), se codificarán de </w:t>
      </w:r>
      <w:r w:rsidR="00E07832">
        <w:rPr>
          <w:rFonts w:ascii="Montserrat" w:hAnsi="Montserrat"/>
          <w:sz w:val="22"/>
        </w:rPr>
        <w:t>acuerdo al Cuadro No 3</w:t>
      </w:r>
      <w:r w:rsidR="005D5C83" w:rsidRPr="006B3DC1">
        <w:rPr>
          <w:rFonts w:ascii="Montserrat" w:hAnsi="Montserrat"/>
          <w:sz w:val="22"/>
        </w:rPr>
        <w:t>.</w:t>
      </w:r>
    </w:p>
    <w:p w:rsidR="005D5C83" w:rsidRPr="006B3DC1" w:rsidRDefault="005D5C83" w:rsidP="005D5C83">
      <w:pPr>
        <w:pStyle w:val="NayeliSalud"/>
        <w:ind w:left="720"/>
        <w:jc w:val="both"/>
        <w:rPr>
          <w:rFonts w:ascii="Montserrat" w:hAnsi="Montserrat"/>
          <w:sz w:val="22"/>
        </w:rPr>
      </w:pPr>
    </w:p>
    <w:p w:rsidR="005D5C83" w:rsidRPr="006B3DC1" w:rsidRDefault="00E07832" w:rsidP="005D5C83">
      <w:pPr>
        <w:pStyle w:val="NayeliSalud"/>
        <w:jc w:val="center"/>
        <w:rPr>
          <w:rFonts w:ascii="Montserrat" w:hAnsi="Montserrat"/>
          <w:b/>
          <w:sz w:val="22"/>
        </w:rPr>
      </w:pPr>
      <w:r>
        <w:rPr>
          <w:rFonts w:ascii="Montserrat" w:hAnsi="Montserrat"/>
          <w:b/>
          <w:color w:val="B8985B" w:themeColor="accent5" w:themeShade="BF"/>
          <w:sz w:val="22"/>
        </w:rPr>
        <w:t>Cuadro 3</w:t>
      </w:r>
      <w:r w:rsidR="005D5C83" w:rsidRPr="00850A96">
        <w:rPr>
          <w:rFonts w:ascii="Montserrat" w:hAnsi="Montserrat"/>
          <w:b/>
          <w:color w:val="B8985B" w:themeColor="accent5" w:themeShade="BF"/>
          <w:sz w:val="22"/>
        </w:rPr>
        <w:t>: Clasificación y descripción de establecimientos de Salud Mental</w:t>
      </w:r>
    </w:p>
    <w:tbl>
      <w:tblPr>
        <w:tblW w:w="10245" w:type="dxa"/>
        <w:jc w:val="center"/>
        <w:tblCellMar>
          <w:left w:w="70" w:type="dxa"/>
          <w:right w:w="70" w:type="dxa"/>
        </w:tblCellMar>
        <w:tblLook w:val="04A0" w:firstRow="1" w:lastRow="0" w:firstColumn="1" w:lastColumn="0" w:noHBand="0" w:noVBand="1"/>
      </w:tblPr>
      <w:tblGrid>
        <w:gridCol w:w="1008"/>
        <w:gridCol w:w="1275"/>
        <w:gridCol w:w="1141"/>
        <w:gridCol w:w="3930"/>
        <w:gridCol w:w="2891"/>
      </w:tblGrid>
      <w:tr w:rsidR="00850A96" w:rsidRPr="00850A96" w:rsidTr="00850A96">
        <w:trPr>
          <w:trHeight w:val="142"/>
          <w:jc w:val="center"/>
        </w:trPr>
        <w:tc>
          <w:tcPr>
            <w:tcW w:w="1008" w:type="dxa"/>
            <w:tcBorders>
              <w:top w:val="single" w:sz="4" w:space="0" w:color="FFFFFF"/>
              <w:left w:val="single" w:sz="4" w:space="0" w:color="FFFFFF"/>
              <w:bottom w:val="single" w:sz="4" w:space="0" w:color="FFFFFF"/>
              <w:right w:val="single" w:sz="4" w:space="0" w:color="FFFFFF"/>
            </w:tcBorders>
            <w:shd w:val="clear" w:color="000000" w:fill="00B050"/>
            <w:noWrap/>
            <w:vAlign w:val="center"/>
            <w:hideMark/>
          </w:tcPr>
          <w:p w:rsidR="00850A96" w:rsidRPr="00850A96" w:rsidRDefault="00850A96" w:rsidP="00850A96">
            <w:pPr>
              <w:spacing w:after="0" w:line="240" w:lineRule="auto"/>
              <w:rPr>
                <w:rFonts w:ascii="Montserrat" w:eastAsia="Times New Roman" w:hAnsi="Montserrat" w:cs="Times New Roman"/>
                <w:color w:val="FFFFFF"/>
                <w:sz w:val="16"/>
                <w:szCs w:val="16"/>
                <w:lang w:eastAsia="es-MX"/>
              </w:rPr>
            </w:pPr>
            <w:r w:rsidRPr="00850A96">
              <w:rPr>
                <w:rFonts w:ascii="Montserrat" w:eastAsia="Times New Roman" w:hAnsi="Montserrat" w:cs="Times New Roman"/>
                <w:color w:val="FFFFFF"/>
                <w:sz w:val="16"/>
                <w:szCs w:val="16"/>
                <w:lang w:eastAsia="es-MX"/>
              </w:rPr>
              <w:t>CveP_D1</w:t>
            </w:r>
          </w:p>
        </w:tc>
        <w:tc>
          <w:tcPr>
            <w:tcW w:w="1275" w:type="dxa"/>
            <w:tcBorders>
              <w:top w:val="single" w:sz="4" w:space="0" w:color="FFFFFF"/>
              <w:left w:val="nil"/>
              <w:bottom w:val="single" w:sz="4" w:space="0" w:color="FFFFFF"/>
              <w:right w:val="single" w:sz="4" w:space="0" w:color="FFFFFF"/>
            </w:tcBorders>
            <w:shd w:val="clear" w:color="000000" w:fill="00B050"/>
            <w:noWrap/>
            <w:vAlign w:val="center"/>
            <w:hideMark/>
          </w:tcPr>
          <w:p w:rsidR="00850A96" w:rsidRPr="00850A96" w:rsidRDefault="00850A96" w:rsidP="00850A96">
            <w:pPr>
              <w:spacing w:after="0" w:line="240" w:lineRule="auto"/>
              <w:jc w:val="center"/>
              <w:rPr>
                <w:rFonts w:ascii="Montserrat" w:eastAsia="Times New Roman" w:hAnsi="Montserrat" w:cs="Times New Roman"/>
                <w:color w:val="FFFFFF"/>
                <w:sz w:val="16"/>
                <w:szCs w:val="16"/>
                <w:lang w:eastAsia="es-MX"/>
              </w:rPr>
            </w:pPr>
            <w:r w:rsidRPr="00850A96">
              <w:rPr>
                <w:rFonts w:ascii="Montserrat" w:eastAsia="Times New Roman" w:hAnsi="Montserrat" w:cs="Times New Roman"/>
                <w:color w:val="FFFFFF"/>
                <w:sz w:val="16"/>
                <w:szCs w:val="16"/>
                <w:lang w:eastAsia="es-MX"/>
              </w:rPr>
              <w:t>CveP_D2</w:t>
            </w:r>
          </w:p>
        </w:tc>
        <w:tc>
          <w:tcPr>
            <w:tcW w:w="1141" w:type="dxa"/>
            <w:tcBorders>
              <w:top w:val="single" w:sz="4" w:space="0" w:color="FFFFFF"/>
              <w:left w:val="nil"/>
              <w:bottom w:val="single" w:sz="4" w:space="0" w:color="FFFFFF"/>
              <w:right w:val="single" w:sz="4" w:space="0" w:color="FFFFFF"/>
            </w:tcBorders>
            <w:shd w:val="clear" w:color="000000" w:fill="00B050"/>
            <w:noWrap/>
            <w:vAlign w:val="center"/>
            <w:hideMark/>
          </w:tcPr>
          <w:p w:rsidR="00850A96" w:rsidRPr="00850A96" w:rsidRDefault="00850A96" w:rsidP="00850A96">
            <w:pPr>
              <w:spacing w:after="0" w:line="240" w:lineRule="auto"/>
              <w:jc w:val="center"/>
              <w:rPr>
                <w:rFonts w:ascii="Montserrat" w:eastAsia="Times New Roman" w:hAnsi="Montserrat" w:cs="Times New Roman"/>
                <w:color w:val="FFFFFF"/>
                <w:sz w:val="16"/>
                <w:szCs w:val="16"/>
                <w:lang w:eastAsia="es-MX"/>
              </w:rPr>
            </w:pPr>
            <w:r w:rsidRPr="00850A96">
              <w:rPr>
                <w:rFonts w:ascii="Montserrat" w:eastAsia="Times New Roman" w:hAnsi="Montserrat" w:cs="Times New Roman"/>
                <w:color w:val="FFFFFF"/>
                <w:sz w:val="16"/>
                <w:szCs w:val="16"/>
                <w:lang w:eastAsia="es-MX"/>
              </w:rPr>
              <w:t>CveP_D3</w:t>
            </w:r>
          </w:p>
        </w:tc>
        <w:tc>
          <w:tcPr>
            <w:tcW w:w="3930" w:type="dxa"/>
            <w:tcBorders>
              <w:top w:val="single" w:sz="4" w:space="0" w:color="FFFFFF"/>
              <w:left w:val="nil"/>
              <w:bottom w:val="single" w:sz="4" w:space="0" w:color="FFFFFF"/>
              <w:right w:val="single" w:sz="4" w:space="0" w:color="FFFFFF"/>
            </w:tcBorders>
            <w:shd w:val="clear" w:color="000000" w:fill="808080"/>
            <w:vAlign w:val="center"/>
            <w:hideMark/>
          </w:tcPr>
          <w:p w:rsidR="00850A96" w:rsidRPr="00850A96" w:rsidRDefault="00850A96" w:rsidP="00850A96">
            <w:pPr>
              <w:spacing w:after="0" w:line="240" w:lineRule="auto"/>
              <w:jc w:val="center"/>
              <w:rPr>
                <w:rFonts w:ascii="Montserrat" w:eastAsia="Times New Roman" w:hAnsi="Montserrat" w:cs="Times New Roman"/>
                <w:color w:val="FFFFFF"/>
                <w:sz w:val="16"/>
                <w:szCs w:val="16"/>
                <w:lang w:eastAsia="es-MX"/>
              </w:rPr>
            </w:pPr>
            <w:r w:rsidRPr="00850A96">
              <w:rPr>
                <w:rFonts w:ascii="Montserrat" w:eastAsia="Times New Roman" w:hAnsi="Montserrat" w:cs="Times New Roman"/>
                <w:color w:val="FFFFFF"/>
                <w:sz w:val="16"/>
                <w:szCs w:val="16"/>
                <w:lang w:eastAsia="es-MX"/>
              </w:rPr>
              <w:t>Tipo de unidad</w:t>
            </w:r>
          </w:p>
        </w:tc>
        <w:tc>
          <w:tcPr>
            <w:tcW w:w="2891" w:type="dxa"/>
            <w:tcBorders>
              <w:top w:val="single" w:sz="4" w:space="0" w:color="FFFFFF"/>
              <w:left w:val="nil"/>
              <w:bottom w:val="single" w:sz="4" w:space="0" w:color="FFFFFF"/>
              <w:right w:val="single" w:sz="4" w:space="0" w:color="FFFFFF"/>
            </w:tcBorders>
            <w:shd w:val="clear" w:color="000000" w:fill="808080"/>
            <w:noWrap/>
            <w:vAlign w:val="center"/>
            <w:hideMark/>
          </w:tcPr>
          <w:p w:rsidR="00850A96" w:rsidRPr="00850A96" w:rsidRDefault="00850A96" w:rsidP="00850A96">
            <w:pPr>
              <w:spacing w:after="0" w:line="240" w:lineRule="auto"/>
              <w:jc w:val="center"/>
              <w:rPr>
                <w:rFonts w:ascii="Montserrat" w:eastAsia="Times New Roman" w:hAnsi="Montserrat" w:cs="Times New Roman"/>
                <w:color w:val="FFFFFF"/>
                <w:sz w:val="16"/>
                <w:szCs w:val="16"/>
                <w:lang w:eastAsia="es-MX"/>
              </w:rPr>
            </w:pPr>
            <w:r w:rsidRPr="00850A96">
              <w:rPr>
                <w:rFonts w:ascii="Montserrat" w:eastAsia="Times New Roman" w:hAnsi="Montserrat" w:cs="Times New Roman"/>
                <w:color w:val="FFFFFF"/>
                <w:sz w:val="16"/>
                <w:szCs w:val="16"/>
                <w:lang w:eastAsia="es-MX"/>
              </w:rPr>
              <w:t>Ejemplo</w:t>
            </w:r>
          </w:p>
        </w:tc>
      </w:tr>
      <w:tr w:rsidR="00850A96" w:rsidRPr="00850A96" w:rsidTr="00850A96">
        <w:trPr>
          <w:trHeight w:val="714"/>
          <w:jc w:val="center"/>
        </w:trPr>
        <w:tc>
          <w:tcPr>
            <w:tcW w:w="1008" w:type="dxa"/>
            <w:tcBorders>
              <w:top w:val="nil"/>
              <w:left w:val="single" w:sz="4" w:space="0" w:color="003300"/>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HP.1 </w:t>
            </w:r>
          </w:p>
        </w:tc>
        <w:tc>
          <w:tcPr>
            <w:tcW w:w="1275" w:type="dxa"/>
            <w:tcBorders>
              <w:top w:val="nil"/>
              <w:left w:val="nil"/>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HP.1.2 </w:t>
            </w:r>
          </w:p>
        </w:tc>
        <w:tc>
          <w:tcPr>
            <w:tcW w:w="1141" w:type="dxa"/>
            <w:tcBorders>
              <w:top w:val="nil"/>
              <w:left w:val="nil"/>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w:t>
            </w:r>
          </w:p>
        </w:tc>
        <w:tc>
          <w:tcPr>
            <w:tcW w:w="3930" w:type="dxa"/>
            <w:tcBorders>
              <w:top w:val="nil"/>
              <w:left w:val="nil"/>
              <w:bottom w:val="dashed"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b/>
                <w:bCs/>
                <w:color w:val="000000"/>
                <w:sz w:val="16"/>
                <w:szCs w:val="16"/>
                <w:lang w:eastAsia="es-MX"/>
              </w:rPr>
              <w:t>Hospitales de Salud Mental:</w:t>
            </w:r>
            <w:r w:rsidRPr="00850A96">
              <w:rPr>
                <w:rFonts w:ascii="Montserrat" w:eastAsia="Times New Roman" w:hAnsi="Montserrat" w:cs="Times New Roman"/>
                <w:color w:val="000000"/>
                <w:sz w:val="16"/>
                <w:szCs w:val="16"/>
                <w:lang w:eastAsia="es-MX"/>
              </w:rPr>
              <w:t xml:space="preserve"> Establecimientos autorizados cuya actividad principal es prestar diagnóstico y tratamiento médico y servicios de seguimiento a pacientes ingresados que </w:t>
            </w:r>
            <w:r w:rsidRPr="00850A96">
              <w:rPr>
                <w:rFonts w:ascii="Montserrat" w:eastAsia="Times New Roman" w:hAnsi="Montserrat" w:cs="Times New Roman"/>
                <w:color w:val="000000"/>
                <w:sz w:val="16"/>
                <w:szCs w:val="16"/>
                <w:lang w:eastAsia="es-MX"/>
              </w:rPr>
              <w:lastRenderedPageBreak/>
              <w:t>sufren enfermedades mentales severas o adicciones</w:t>
            </w:r>
          </w:p>
        </w:tc>
        <w:tc>
          <w:tcPr>
            <w:tcW w:w="2891" w:type="dxa"/>
            <w:tcBorders>
              <w:top w:val="single" w:sz="4" w:space="0" w:color="FFFFFF"/>
              <w:left w:val="nil"/>
              <w:bottom w:val="dashed"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lastRenderedPageBreak/>
              <w:t>*Hospitales psiquiátricos                                                           *Hospitales Forenses                                                  *Hospitales para adicciones</w:t>
            </w:r>
          </w:p>
        </w:tc>
      </w:tr>
      <w:tr w:rsidR="00850A96" w:rsidRPr="00850A96" w:rsidTr="00850A96">
        <w:trPr>
          <w:trHeight w:val="1000"/>
          <w:jc w:val="center"/>
        </w:trPr>
        <w:tc>
          <w:tcPr>
            <w:tcW w:w="1008" w:type="dxa"/>
            <w:tcBorders>
              <w:top w:val="nil"/>
              <w:left w:val="single" w:sz="4" w:space="0" w:color="003300"/>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HP.3 </w:t>
            </w:r>
          </w:p>
        </w:tc>
        <w:tc>
          <w:tcPr>
            <w:tcW w:w="1275" w:type="dxa"/>
            <w:tcBorders>
              <w:top w:val="nil"/>
              <w:left w:val="nil"/>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HP.3.1 </w:t>
            </w:r>
          </w:p>
        </w:tc>
        <w:tc>
          <w:tcPr>
            <w:tcW w:w="1141" w:type="dxa"/>
            <w:tcBorders>
              <w:top w:val="nil"/>
              <w:left w:val="nil"/>
              <w:bottom w:val="dashed"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HP.3.1.2 </w:t>
            </w:r>
          </w:p>
        </w:tc>
        <w:tc>
          <w:tcPr>
            <w:tcW w:w="3930" w:type="dxa"/>
            <w:tcBorders>
              <w:top w:val="nil"/>
              <w:left w:val="nil"/>
              <w:bottom w:val="dashed"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b/>
                <w:bCs/>
                <w:color w:val="000000"/>
                <w:sz w:val="16"/>
                <w:szCs w:val="16"/>
                <w:lang w:eastAsia="es-MX"/>
              </w:rPr>
              <w:t>Consultorios de médicos especialistas en salud mental:</w:t>
            </w:r>
            <w:r w:rsidRPr="00850A96">
              <w:rPr>
                <w:rFonts w:ascii="Montserrat" w:eastAsia="Times New Roman" w:hAnsi="Montserrat" w:cs="Times New Roman"/>
                <w:color w:val="000000"/>
                <w:sz w:val="16"/>
                <w:szCs w:val="16"/>
                <w:lang w:eastAsia="es-MX"/>
              </w:rPr>
              <w:t xml:space="preserve"> Establecimientos de profesionales independientes de salud mental con un título de médico con especialización en medicina de salud mental o cualificación correspondiente</w:t>
            </w:r>
          </w:p>
        </w:tc>
        <w:tc>
          <w:tcPr>
            <w:tcW w:w="2891" w:type="dxa"/>
            <w:tcBorders>
              <w:top w:val="dashed" w:sz="4" w:space="0" w:color="003300"/>
              <w:left w:val="nil"/>
              <w:bottom w:val="dashed"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*Consultorios de psiquiatras independientes,                         *Consultorios de salud mental,                          *Consultorios de pediatras de salud mental,                                           *Consultorios de  psicoanalistas                            *Consultorios de psicoterapeutas.</w:t>
            </w:r>
          </w:p>
        </w:tc>
      </w:tr>
      <w:tr w:rsidR="00850A96" w:rsidRPr="00850A96" w:rsidTr="00850A96">
        <w:trPr>
          <w:trHeight w:val="1000"/>
          <w:jc w:val="center"/>
        </w:trPr>
        <w:tc>
          <w:tcPr>
            <w:tcW w:w="1008" w:type="dxa"/>
            <w:tcBorders>
              <w:top w:val="nil"/>
              <w:left w:val="single" w:sz="4" w:space="0" w:color="003300"/>
              <w:bottom w:val="single"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HP.3</w:t>
            </w:r>
          </w:p>
        </w:tc>
        <w:tc>
          <w:tcPr>
            <w:tcW w:w="1275" w:type="dxa"/>
            <w:tcBorders>
              <w:top w:val="nil"/>
              <w:left w:val="nil"/>
              <w:bottom w:val="single"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HP.3.4</w:t>
            </w:r>
          </w:p>
        </w:tc>
        <w:tc>
          <w:tcPr>
            <w:tcW w:w="1141" w:type="dxa"/>
            <w:tcBorders>
              <w:top w:val="nil"/>
              <w:left w:val="nil"/>
              <w:bottom w:val="single" w:sz="4" w:space="0" w:color="003300"/>
              <w:right w:val="single" w:sz="4" w:space="0" w:color="003300"/>
            </w:tcBorders>
            <w:shd w:val="clear" w:color="auto" w:fill="auto"/>
            <w:noWrap/>
            <w:vAlign w:val="center"/>
            <w:hideMark/>
          </w:tcPr>
          <w:p w:rsidR="00850A96" w:rsidRPr="00850A96" w:rsidRDefault="00850A96" w:rsidP="00850A96">
            <w:pPr>
              <w:spacing w:after="0" w:line="240" w:lineRule="auto"/>
              <w:jc w:val="center"/>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 xml:space="preserve">HP.3.4.2 </w:t>
            </w:r>
          </w:p>
        </w:tc>
        <w:tc>
          <w:tcPr>
            <w:tcW w:w="3930" w:type="dxa"/>
            <w:tcBorders>
              <w:top w:val="nil"/>
              <w:left w:val="nil"/>
              <w:bottom w:val="single"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b/>
                <w:bCs/>
                <w:color w:val="000000"/>
                <w:sz w:val="16"/>
                <w:szCs w:val="16"/>
                <w:lang w:eastAsia="es-MX"/>
              </w:rPr>
              <w:t>Centros de atención ambulatoria de salud mental y adicciones:</w:t>
            </w:r>
            <w:r w:rsidRPr="00850A96">
              <w:rPr>
                <w:rFonts w:ascii="Montserrat" w:eastAsia="Times New Roman" w:hAnsi="Montserrat" w:cs="Times New Roman"/>
                <w:color w:val="000000"/>
                <w:sz w:val="16"/>
                <w:szCs w:val="16"/>
                <w:lang w:eastAsia="es-MX"/>
              </w:rPr>
              <w:t xml:space="preserve"> Establecimientos con personal médico que brindan servicios de consulta externa relacionados con el diagnóstico y tratamiento de trastornos mentales, alcoholismo y otras adicciones. Atienden a pacientes que no requieren internamiento.</w:t>
            </w:r>
          </w:p>
        </w:tc>
        <w:tc>
          <w:tcPr>
            <w:tcW w:w="2891" w:type="dxa"/>
            <w:tcBorders>
              <w:top w:val="dashed" w:sz="4" w:space="0" w:color="003300"/>
              <w:left w:val="nil"/>
              <w:bottom w:val="single" w:sz="4" w:space="0" w:color="003300"/>
              <w:right w:val="single" w:sz="4" w:space="0" w:color="003300"/>
            </w:tcBorders>
            <w:shd w:val="clear" w:color="auto" w:fill="auto"/>
            <w:vAlign w:val="center"/>
            <w:hideMark/>
          </w:tcPr>
          <w:p w:rsidR="00850A96" w:rsidRPr="00850A96" w:rsidRDefault="00850A96" w:rsidP="00850A96">
            <w:pPr>
              <w:spacing w:after="0" w:line="240" w:lineRule="auto"/>
              <w:rPr>
                <w:rFonts w:ascii="Montserrat" w:eastAsia="Times New Roman" w:hAnsi="Montserrat" w:cs="Times New Roman"/>
                <w:color w:val="000000"/>
                <w:sz w:val="16"/>
                <w:szCs w:val="16"/>
                <w:lang w:eastAsia="es-MX"/>
              </w:rPr>
            </w:pPr>
            <w:r w:rsidRPr="00850A96">
              <w:rPr>
                <w:rFonts w:ascii="Montserrat" w:eastAsia="Times New Roman" w:hAnsi="Montserrat" w:cs="Times New Roman"/>
                <w:color w:val="000000"/>
                <w:sz w:val="16"/>
                <w:szCs w:val="16"/>
                <w:lang w:eastAsia="es-MX"/>
              </w:rPr>
              <w:t>*Centros y clínicas ambulatorias para el tratamiento del alcoholismo, la desintoxicación, el tratamiento de adicionen y drogas, salud mental o para el tratamiento de adicciones</w:t>
            </w:r>
          </w:p>
        </w:tc>
      </w:tr>
    </w:tbl>
    <w:p w:rsidR="005D5C83" w:rsidRPr="006B3DC1" w:rsidRDefault="005D5C83" w:rsidP="005D5C83">
      <w:pPr>
        <w:pStyle w:val="NayeliSalud"/>
        <w:ind w:left="720"/>
        <w:jc w:val="both"/>
        <w:rPr>
          <w:rFonts w:ascii="Montserrat" w:hAnsi="Montserrat"/>
          <w:sz w:val="22"/>
        </w:rPr>
      </w:pPr>
    </w:p>
    <w:p w:rsidR="00604F92" w:rsidRPr="00385061" w:rsidRDefault="00604F92" w:rsidP="00BF0D14">
      <w:pPr>
        <w:pStyle w:val="NayeliSalud"/>
        <w:numPr>
          <w:ilvl w:val="0"/>
          <w:numId w:val="1"/>
        </w:numPr>
        <w:ind w:left="720"/>
        <w:jc w:val="both"/>
        <w:rPr>
          <w:rFonts w:ascii="Montserrat" w:hAnsi="Montserrat"/>
          <w:sz w:val="22"/>
        </w:rPr>
      </w:pPr>
      <w:r w:rsidRPr="006B3DC1">
        <w:rPr>
          <w:rFonts w:ascii="Montserrat" w:hAnsi="Montserrat"/>
          <w:sz w:val="22"/>
        </w:rPr>
        <w:t>E</w:t>
      </w:r>
      <w:r w:rsidR="00186C32" w:rsidRPr="006B3DC1">
        <w:rPr>
          <w:rFonts w:ascii="Montserrat" w:hAnsi="Montserrat"/>
          <w:sz w:val="22"/>
        </w:rPr>
        <w:t xml:space="preserve">n caso de existir dentro de nuestro clasificador HC (Funciones de atención) códigos no referenciados en el cuadro 2, aplicar el código </w:t>
      </w:r>
      <w:r w:rsidR="00186C32" w:rsidRPr="006B3DC1">
        <w:rPr>
          <w:rFonts w:ascii="Montserrat" w:hAnsi="Montserrat"/>
          <w:b/>
          <w:sz w:val="22"/>
        </w:rPr>
        <w:t>HP.0 Proveedores desconocidos</w:t>
      </w:r>
      <w:r w:rsidRPr="006B3DC1">
        <w:rPr>
          <w:rFonts w:ascii="Montserrat" w:hAnsi="Montserrat"/>
          <w:b/>
          <w:sz w:val="22"/>
        </w:rPr>
        <w:t>.</w:t>
      </w:r>
    </w:p>
    <w:p w:rsidR="00385061" w:rsidRPr="009E1C3E" w:rsidRDefault="00385061" w:rsidP="00385061">
      <w:pPr>
        <w:pStyle w:val="NayeliSalud"/>
        <w:numPr>
          <w:ilvl w:val="0"/>
          <w:numId w:val="1"/>
        </w:numPr>
        <w:jc w:val="both"/>
        <w:rPr>
          <w:rFonts w:ascii="Montserrat" w:hAnsi="Montserrat"/>
          <w:sz w:val="22"/>
        </w:rPr>
      </w:pPr>
      <w:r w:rsidRPr="009E1C3E">
        <w:rPr>
          <w:rFonts w:ascii="Montserrat" w:hAnsi="Montserrat"/>
          <w:sz w:val="22"/>
        </w:rPr>
        <w:t xml:space="preserve">Por último, existen dentro del clasificador de los proveedores de servicios de salud, establecimientos de carácter muy específico, en caso de que algún proveedor de información tenga dentro de sus unidades médicas alguno de estos, se asignará la clave que se muestra en el cuadro 4, de </w:t>
      </w:r>
      <w:r>
        <w:rPr>
          <w:rFonts w:ascii="Montserrat" w:hAnsi="Montserrat"/>
          <w:sz w:val="22"/>
        </w:rPr>
        <w:t>no ser así, seguir las indicacio</w:t>
      </w:r>
      <w:r w:rsidRPr="009E1C3E">
        <w:rPr>
          <w:rFonts w:ascii="Montserrat" w:hAnsi="Montserrat"/>
          <w:sz w:val="22"/>
        </w:rPr>
        <w:t>n</w:t>
      </w:r>
      <w:r>
        <w:rPr>
          <w:rFonts w:ascii="Montserrat" w:hAnsi="Montserrat"/>
          <w:sz w:val="22"/>
        </w:rPr>
        <w:t>es</w:t>
      </w:r>
      <w:r w:rsidRPr="009E1C3E">
        <w:rPr>
          <w:rFonts w:ascii="Montserrat" w:hAnsi="Montserrat"/>
          <w:sz w:val="22"/>
        </w:rPr>
        <w:t xml:space="preserve"> según el criterio de clasificación por funciones de atención descrito anteriormente.</w:t>
      </w:r>
    </w:p>
    <w:p w:rsidR="00385061" w:rsidRPr="00BF1DFD" w:rsidRDefault="00385061" w:rsidP="00385061">
      <w:pPr>
        <w:pStyle w:val="NayeliSalud"/>
        <w:numPr>
          <w:ilvl w:val="0"/>
          <w:numId w:val="1"/>
        </w:numPr>
        <w:jc w:val="center"/>
        <w:rPr>
          <w:rFonts w:ascii="Montserrat" w:hAnsi="Montserrat"/>
          <w:b/>
          <w:color w:val="B8985B" w:themeColor="accent5" w:themeShade="BF"/>
          <w:sz w:val="22"/>
        </w:rPr>
      </w:pPr>
      <w:r w:rsidRPr="00BF1DFD">
        <w:rPr>
          <w:rFonts w:ascii="Montserrat" w:hAnsi="Montserrat"/>
          <w:b/>
          <w:color w:val="B8985B" w:themeColor="accent5" w:themeShade="BF"/>
          <w:sz w:val="22"/>
        </w:rPr>
        <w:t>Cuadro 4. Proveedores de salud ambulatoria más específicos</w:t>
      </w:r>
    </w:p>
    <w:tbl>
      <w:tblPr>
        <w:tblW w:w="9366" w:type="dxa"/>
        <w:jc w:val="center"/>
        <w:tblCellMar>
          <w:left w:w="70" w:type="dxa"/>
          <w:right w:w="70" w:type="dxa"/>
        </w:tblCellMar>
        <w:tblLook w:val="04A0" w:firstRow="1" w:lastRow="0" w:firstColumn="1" w:lastColumn="0" w:noHBand="0" w:noVBand="1"/>
      </w:tblPr>
      <w:tblGrid>
        <w:gridCol w:w="861"/>
        <w:gridCol w:w="1090"/>
        <w:gridCol w:w="975"/>
        <w:gridCol w:w="3359"/>
        <w:gridCol w:w="3081"/>
      </w:tblGrid>
      <w:tr w:rsidR="00385061" w:rsidRPr="00920632" w:rsidTr="009C12A1">
        <w:trPr>
          <w:trHeight w:val="243"/>
          <w:jc w:val="center"/>
        </w:trPr>
        <w:tc>
          <w:tcPr>
            <w:tcW w:w="861" w:type="dxa"/>
            <w:tcBorders>
              <w:top w:val="single" w:sz="4" w:space="0" w:color="FFFFFF"/>
              <w:left w:val="single" w:sz="4" w:space="0" w:color="FFFFFF"/>
              <w:bottom w:val="single" w:sz="4" w:space="0" w:color="FFFFFF"/>
              <w:right w:val="single" w:sz="4" w:space="0" w:color="FFFFFF"/>
            </w:tcBorders>
            <w:shd w:val="clear" w:color="000000" w:fill="00B050"/>
            <w:noWrap/>
            <w:vAlign w:val="center"/>
            <w:hideMark/>
          </w:tcPr>
          <w:p w:rsidR="00385061" w:rsidRPr="00920632" w:rsidRDefault="00385061" w:rsidP="009C12A1">
            <w:pPr>
              <w:spacing w:after="0" w:line="240" w:lineRule="auto"/>
              <w:jc w:val="center"/>
              <w:rPr>
                <w:rFonts w:ascii="Montserrat" w:eastAsia="Times New Roman" w:hAnsi="Montserrat" w:cs="Calibri"/>
                <w:color w:val="FFFFFF"/>
                <w:sz w:val="14"/>
                <w:szCs w:val="14"/>
                <w:lang w:eastAsia="es-MX"/>
              </w:rPr>
            </w:pPr>
            <w:r w:rsidRPr="00920632">
              <w:rPr>
                <w:rFonts w:ascii="Montserrat" w:eastAsia="Times New Roman" w:hAnsi="Montserrat" w:cs="Calibri"/>
                <w:color w:val="FFFFFF"/>
                <w:sz w:val="14"/>
                <w:szCs w:val="14"/>
                <w:lang w:eastAsia="es-MX"/>
              </w:rPr>
              <w:t>CveP_D1</w:t>
            </w:r>
          </w:p>
        </w:tc>
        <w:tc>
          <w:tcPr>
            <w:tcW w:w="1090" w:type="dxa"/>
            <w:tcBorders>
              <w:top w:val="single" w:sz="4" w:space="0" w:color="FFFFFF"/>
              <w:left w:val="nil"/>
              <w:bottom w:val="single" w:sz="4" w:space="0" w:color="FFFFFF"/>
              <w:right w:val="single" w:sz="4" w:space="0" w:color="FFFFFF"/>
            </w:tcBorders>
            <w:shd w:val="clear" w:color="000000" w:fill="00B050"/>
            <w:noWrap/>
            <w:vAlign w:val="center"/>
            <w:hideMark/>
          </w:tcPr>
          <w:p w:rsidR="00385061" w:rsidRPr="00920632" w:rsidRDefault="00385061" w:rsidP="009C12A1">
            <w:pPr>
              <w:spacing w:after="0" w:line="240" w:lineRule="auto"/>
              <w:jc w:val="center"/>
              <w:rPr>
                <w:rFonts w:ascii="Montserrat" w:eastAsia="Times New Roman" w:hAnsi="Montserrat" w:cs="Calibri"/>
                <w:color w:val="FFFFFF"/>
                <w:sz w:val="14"/>
                <w:szCs w:val="14"/>
                <w:lang w:eastAsia="es-MX"/>
              </w:rPr>
            </w:pPr>
            <w:r w:rsidRPr="00920632">
              <w:rPr>
                <w:rFonts w:ascii="Montserrat" w:eastAsia="Times New Roman" w:hAnsi="Montserrat" w:cs="Calibri"/>
                <w:color w:val="FFFFFF"/>
                <w:sz w:val="14"/>
                <w:szCs w:val="14"/>
                <w:lang w:eastAsia="es-MX"/>
              </w:rPr>
              <w:t>CveP_D2</w:t>
            </w:r>
          </w:p>
        </w:tc>
        <w:tc>
          <w:tcPr>
            <w:tcW w:w="975" w:type="dxa"/>
            <w:tcBorders>
              <w:top w:val="single" w:sz="4" w:space="0" w:color="FFFFFF"/>
              <w:left w:val="nil"/>
              <w:bottom w:val="single" w:sz="4" w:space="0" w:color="FFFFFF"/>
              <w:right w:val="single" w:sz="4" w:space="0" w:color="FFFFFF"/>
            </w:tcBorders>
            <w:shd w:val="clear" w:color="000000" w:fill="00B050"/>
            <w:noWrap/>
            <w:vAlign w:val="center"/>
            <w:hideMark/>
          </w:tcPr>
          <w:p w:rsidR="00385061" w:rsidRPr="00920632" w:rsidRDefault="00385061" w:rsidP="009C12A1">
            <w:pPr>
              <w:spacing w:after="0" w:line="240" w:lineRule="auto"/>
              <w:jc w:val="center"/>
              <w:rPr>
                <w:rFonts w:ascii="Montserrat" w:eastAsia="Times New Roman" w:hAnsi="Montserrat" w:cs="Calibri"/>
                <w:color w:val="FFFFFF"/>
                <w:sz w:val="14"/>
                <w:szCs w:val="14"/>
                <w:lang w:eastAsia="es-MX"/>
              </w:rPr>
            </w:pPr>
            <w:r w:rsidRPr="00920632">
              <w:rPr>
                <w:rFonts w:ascii="Montserrat" w:eastAsia="Times New Roman" w:hAnsi="Montserrat" w:cs="Calibri"/>
                <w:color w:val="FFFFFF"/>
                <w:sz w:val="14"/>
                <w:szCs w:val="14"/>
                <w:lang w:eastAsia="es-MX"/>
              </w:rPr>
              <w:t>CveP_D3</w:t>
            </w:r>
          </w:p>
        </w:tc>
        <w:tc>
          <w:tcPr>
            <w:tcW w:w="3359" w:type="dxa"/>
            <w:tcBorders>
              <w:top w:val="single" w:sz="4" w:space="0" w:color="FFFFFF"/>
              <w:left w:val="nil"/>
              <w:bottom w:val="single" w:sz="4" w:space="0" w:color="FFFFFF"/>
              <w:right w:val="single" w:sz="4" w:space="0" w:color="FFFFFF"/>
            </w:tcBorders>
            <w:shd w:val="clear" w:color="000000" w:fill="808080"/>
            <w:vAlign w:val="center"/>
            <w:hideMark/>
          </w:tcPr>
          <w:p w:rsidR="00385061" w:rsidRPr="00920632" w:rsidRDefault="00385061" w:rsidP="009C12A1">
            <w:pPr>
              <w:spacing w:after="0" w:line="240" w:lineRule="auto"/>
              <w:jc w:val="center"/>
              <w:rPr>
                <w:rFonts w:ascii="Montserrat" w:eastAsia="Times New Roman" w:hAnsi="Montserrat" w:cs="Calibri"/>
                <w:color w:val="FFFFFF"/>
                <w:sz w:val="14"/>
                <w:szCs w:val="14"/>
                <w:lang w:eastAsia="es-MX"/>
              </w:rPr>
            </w:pPr>
            <w:r w:rsidRPr="00920632">
              <w:rPr>
                <w:rFonts w:ascii="Montserrat" w:eastAsia="Times New Roman" w:hAnsi="Montserrat" w:cs="Calibri"/>
                <w:color w:val="FFFFFF"/>
                <w:sz w:val="14"/>
                <w:szCs w:val="14"/>
                <w:lang w:eastAsia="es-MX"/>
              </w:rPr>
              <w:t>Tipo de Unidad</w:t>
            </w:r>
          </w:p>
        </w:tc>
        <w:tc>
          <w:tcPr>
            <w:tcW w:w="3081" w:type="dxa"/>
            <w:tcBorders>
              <w:top w:val="nil"/>
              <w:left w:val="nil"/>
              <w:bottom w:val="nil"/>
              <w:right w:val="nil"/>
            </w:tcBorders>
            <w:shd w:val="clear" w:color="000000" w:fill="808080"/>
            <w:vAlign w:val="center"/>
            <w:hideMark/>
          </w:tcPr>
          <w:p w:rsidR="00385061" w:rsidRPr="00920632" w:rsidRDefault="00385061" w:rsidP="009C12A1">
            <w:pPr>
              <w:spacing w:after="0" w:line="240" w:lineRule="auto"/>
              <w:jc w:val="center"/>
              <w:rPr>
                <w:rFonts w:ascii="Montserrat" w:eastAsia="Times New Roman" w:hAnsi="Montserrat" w:cs="Calibri"/>
                <w:color w:val="FFFFFF"/>
                <w:sz w:val="14"/>
                <w:szCs w:val="14"/>
                <w:lang w:eastAsia="es-MX"/>
              </w:rPr>
            </w:pPr>
            <w:r w:rsidRPr="00920632">
              <w:rPr>
                <w:rFonts w:ascii="Montserrat" w:eastAsia="Times New Roman" w:hAnsi="Montserrat" w:cs="Calibri"/>
                <w:color w:val="FFFFFF"/>
                <w:sz w:val="14"/>
                <w:szCs w:val="14"/>
                <w:lang w:eastAsia="es-MX"/>
              </w:rPr>
              <w:t>Ejemplo</w:t>
            </w:r>
          </w:p>
        </w:tc>
      </w:tr>
      <w:tr w:rsidR="00385061" w:rsidRPr="00920632" w:rsidTr="009C12A1">
        <w:trPr>
          <w:trHeight w:val="1361"/>
          <w:jc w:val="center"/>
        </w:trPr>
        <w:tc>
          <w:tcPr>
            <w:tcW w:w="861" w:type="dxa"/>
            <w:tcBorders>
              <w:top w:val="nil"/>
              <w:left w:val="single" w:sz="4" w:space="0" w:color="003300"/>
              <w:bottom w:val="dashed" w:sz="4" w:space="0" w:color="003300"/>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w:t>
            </w:r>
          </w:p>
        </w:tc>
        <w:tc>
          <w:tcPr>
            <w:tcW w:w="1090" w:type="dxa"/>
            <w:tcBorders>
              <w:top w:val="nil"/>
              <w:left w:val="nil"/>
              <w:bottom w:val="dashed" w:sz="4" w:space="0" w:color="003300"/>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HP.3.4</w:t>
            </w:r>
          </w:p>
        </w:tc>
        <w:tc>
          <w:tcPr>
            <w:tcW w:w="975" w:type="dxa"/>
            <w:tcBorders>
              <w:top w:val="nil"/>
              <w:left w:val="nil"/>
              <w:bottom w:val="dashed" w:sz="4" w:space="0" w:color="003300"/>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HP.3.4.1</w:t>
            </w:r>
          </w:p>
        </w:tc>
        <w:tc>
          <w:tcPr>
            <w:tcW w:w="3359" w:type="dxa"/>
            <w:tcBorders>
              <w:top w:val="nil"/>
              <w:left w:val="nil"/>
              <w:bottom w:val="nil"/>
              <w:right w:val="single" w:sz="4" w:space="0" w:color="003300"/>
            </w:tcBorders>
            <w:shd w:val="clear" w:color="auto" w:fill="auto"/>
            <w:vAlign w:val="center"/>
            <w:hideMark/>
          </w:tcPr>
          <w:p w:rsidR="00385061" w:rsidRPr="00920632" w:rsidRDefault="00385061" w:rsidP="009C12A1">
            <w:pPr>
              <w:spacing w:after="0" w:line="240" w:lineRule="auto"/>
              <w:rPr>
                <w:rFonts w:ascii="Montserrat" w:eastAsia="Times New Roman" w:hAnsi="Montserrat" w:cs="Calibri"/>
                <w:color w:val="000000"/>
                <w:sz w:val="14"/>
                <w:szCs w:val="14"/>
                <w:lang w:eastAsia="es-MX"/>
              </w:rPr>
            </w:pPr>
            <w:r w:rsidRPr="00920632">
              <w:rPr>
                <w:rFonts w:ascii="Montserrat" w:eastAsia="Times New Roman" w:hAnsi="Montserrat" w:cs="Calibri"/>
                <w:b/>
                <w:bCs/>
                <w:color w:val="000000"/>
                <w:sz w:val="14"/>
                <w:szCs w:val="14"/>
                <w:lang w:eastAsia="es-MX"/>
              </w:rPr>
              <w:t xml:space="preserve">Centros de planificación familiar: </w:t>
            </w:r>
            <w:r w:rsidRPr="00920632">
              <w:rPr>
                <w:rFonts w:ascii="Montserrat" w:eastAsia="Times New Roman" w:hAnsi="Montserrat" w:cs="Calibri"/>
                <w:color w:val="000000"/>
                <w:sz w:val="14"/>
                <w:szCs w:val="14"/>
                <w:lang w:eastAsia="es-MX"/>
              </w:rPr>
              <w:t xml:space="preserve">Establecimientos con personal médico que ofrecen servicios de planificación familiar de tipo ambulatorio, asesoramiento anticonceptivo, asesoría genética y prenatal, esterilización voluntaria e interrupción del embarazo por indicaciones terapéuticas y medicas </w:t>
            </w:r>
          </w:p>
        </w:tc>
        <w:tc>
          <w:tcPr>
            <w:tcW w:w="3081" w:type="dxa"/>
            <w:tcBorders>
              <w:top w:val="single" w:sz="4" w:space="0" w:color="FFFFFF"/>
              <w:left w:val="nil"/>
              <w:bottom w:val="nil"/>
              <w:right w:val="single" w:sz="4" w:space="0" w:color="003300"/>
            </w:tcBorders>
            <w:shd w:val="clear" w:color="auto" w:fill="auto"/>
            <w:vAlign w:val="center"/>
            <w:hideMark/>
          </w:tcPr>
          <w:p w:rsidR="00385061" w:rsidRPr="00920632" w:rsidRDefault="00385061" w:rsidP="009C12A1">
            <w:pPr>
              <w:spacing w:after="0" w:line="240" w:lineRule="auto"/>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 xml:space="preserve">*Centros de consultas sobre el embarazo                     </w:t>
            </w:r>
            <w:r w:rsidRPr="00920632">
              <w:rPr>
                <w:rFonts w:ascii="Montserrat" w:eastAsia="Times New Roman" w:hAnsi="Montserrat" w:cs="Calibri"/>
                <w:color w:val="000000"/>
                <w:sz w:val="14"/>
                <w:szCs w:val="14"/>
                <w:lang w:eastAsia="es-MX"/>
              </w:rPr>
              <w:br/>
              <w:t>*Clínicas de control de la natalidad                                 *Cursos de preparación para el parto                           *Clínicas de fecundidad</w:t>
            </w:r>
          </w:p>
        </w:tc>
      </w:tr>
      <w:tr w:rsidR="00385061" w:rsidRPr="00920632" w:rsidTr="009C12A1">
        <w:trPr>
          <w:trHeight w:val="1217"/>
          <w:jc w:val="center"/>
        </w:trPr>
        <w:tc>
          <w:tcPr>
            <w:tcW w:w="861" w:type="dxa"/>
            <w:tcBorders>
              <w:top w:val="nil"/>
              <w:left w:val="single" w:sz="4" w:space="0" w:color="003300"/>
              <w:bottom w:val="dashed" w:sz="4" w:space="0" w:color="003300"/>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w:t>
            </w:r>
          </w:p>
        </w:tc>
        <w:tc>
          <w:tcPr>
            <w:tcW w:w="1090" w:type="dxa"/>
            <w:tcBorders>
              <w:top w:val="nil"/>
              <w:left w:val="nil"/>
              <w:bottom w:val="dashed" w:sz="4" w:space="0" w:color="003300"/>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HP.3.4</w:t>
            </w:r>
          </w:p>
        </w:tc>
        <w:tc>
          <w:tcPr>
            <w:tcW w:w="975" w:type="dxa"/>
            <w:tcBorders>
              <w:top w:val="nil"/>
              <w:left w:val="nil"/>
              <w:bottom w:val="dashed" w:sz="4" w:space="0" w:color="003300"/>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HP.3.4.3</w:t>
            </w:r>
          </w:p>
        </w:tc>
        <w:tc>
          <w:tcPr>
            <w:tcW w:w="3359" w:type="dxa"/>
            <w:tcBorders>
              <w:top w:val="dashed" w:sz="4" w:space="0" w:color="13322B"/>
              <w:left w:val="nil"/>
              <w:bottom w:val="dashed" w:sz="4" w:space="0" w:color="13322B"/>
              <w:right w:val="single" w:sz="4" w:space="0" w:color="003300"/>
            </w:tcBorders>
            <w:shd w:val="clear" w:color="auto" w:fill="auto"/>
            <w:vAlign w:val="center"/>
            <w:hideMark/>
          </w:tcPr>
          <w:p w:rsidR="00385061" w:rsidRPr="00920632" w:rsidRDefault="00385061" w:rsidP="009C12A1">
            <w:pPr>
              <w:spacing w:after="0" w:line="240" w:lineRule="auto"/>
              <w:rPr>
                <w:rFonts w:ascii="Montserrat" w:eastAsia="Times New Roman" w:hAnsi="Montserrat" w:cs="Calibri"/>
                <w:color w:val="000000"/>
                <w:sz w:val="14"/>
                <w:szCs w:val="14"/>
                <w:lang w:eastAsia="es-MX"/>
              </w:rPr>
            </w:pPr>
            <w:r w:rsidRPr="00920632">
              <w:rPr>
                <w:rFonts w:ascii="Montserrat" w:eastAsia="Times New Roman" w:hAnsi="Montserrat" w:cs="Calibri"/>
                <w:b/>
                <w:bCs/>
                <w:color w:val="000000"/>
                <w:sz w:val="14"/>
                <w:szCs w:val="14"/>
                <w:lang w:eastAsia="es-MX"/>
              </w:rPr>
              <w:t>Centros independientes de cirugía ambulatoria:</w:t>
            </w:r>
            <w:r w:rsidRPr="00920632">
              <w:rPr>
                <w:rFonts w:ascii="Montserrat" w:eastAsia="Times New Roman" w:hAnsi="Montserrat" w:cs="Calibri"/>
                <w:color w:val="000000"/>
                <w:sz w:val="14"/>
                <w:szCs w:val="14"/>
                <w:lang w:eastAsia="es-MX"/>
              </w:rPr>
              <w:t xml:space="preserve"> Establecimientos especializados con médicos y otro personal de salud que brindan principalmente servicios quirúrgicos de carácter ambulatorio</w:t>
            </w:r>
          </w:p>
        </w:tc>
        <w:tc>
          <w:tcPr>
            <w:tcW w:w="3081" w:type="dxa"/>
            <w:tcBorders>
              <w:top w:val="dashed" w:sz="4" w:space="0" w:color="13322B"/>
              <w:left w:val="nil"/>
              <w:bottom w:val="dashed" w:sz="4" w:space="0" w:color="13322B"/>
              <w:right w:val="single" w:sz="4" w:space="0" w:color="003300"/>
            </w:tcBorders>
            <w:shd w:val="clear" w:color="auto" w:fill="auto"/>
            <w:vAlign w:val="center"/>
            <w:hideMark/>
          </w:tcPr>
          <w:p w:rsidR="00385061" w:rsidRPr="00920632" w:rsidRDefault="00385061" w:rsidP="009C12A1">
            <w:pPr>
              <w:spacing w:after="0" w:line="240" w:lineRule="auto"/>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 </w:t>
            </w:r>
          </w:p>
        </w:tc>
      </w:tr>
      <w:tr w:rsidR="00385061" w:rsidRPr="00920632" w:rsidTr="009C12A1">
        <w:trPr>
          <w:trHeight w:val="730"/>
          <w:jc w:val="center"/>
        </w:trPr>
        <w:tc>
          <w:tcPr>
            <w:tcW w:w="861" w:type="dxa"/>
            <w:tcBorders>
              <w:top w:val="nil"/>
              <w:left w:val="single" w:sz="4" w:space="0" w:color="003300"/>
              <w:bottom w:val="single" w:sz="4" w:space="0" w:color="auto"/>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w:t>
            </w:r>
          </w:p>
        </w:tc>
        <w:tc>
          <w:tcPr>
            <w:tcW w:w="1090" w:type="dxa"/>
            <w:tcBorders>
              <w:top w:val="nil"/>
              <w:left w:val="nil"/>
              <w:bottom w:val="single" w:sz="4" w:space="0" w:color="auto"/>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HP.3.4</w:t>
            </w:r>
          </w:p>
        </w:tc>
        <w:tc>
          <w:tcPr>
            <w:tcW w:w="975" w:type="dxa"/>
            <w:tcBorders>
              <w:top w:val="nil"/>
              <w:left w:val="nil"/>
              <w:bottom w:val="single" w:sz="4" w:space="0" w:color="auto"/>
              <w:right w:val="single" w:sz="4" w:space="0" w:color="003300"/>
            </w:tcBorders>
            <w:shd w:val="clear" w:color="auto" w:fill="auto"/>
            <w:noWrap/>
            <w:vAlign w:val="center"/>
            <w:hideMark/>
          </w:tcPr>
          <w:p w:rsidR="00385061" w:rsidRPr="00920632" w:rsidRDefault="00385061" w:rsidP="009C12A1">
            <w:pPr>
              <w:spacing w:after="0" w:line="240" w:lineRule="auto"/>
              <w:jc w:val="center"/>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HP.3.4.4</w:t>
            </w:r>
          </w:p>
        </w:tc>
        <w:tc>
          <w:tcPr>
            <w:tcW w:w="3359" w:type="dxa"/>
            <w:tcBorders>
              <w:top w:val="nil"/>
              <w:left w:val="nil"/>
              <w:bottom w:val="single" w:sz="4" w:space="0" w:color="auto"/>
              <w:right w:val="single" w:sz="4" w:space="0" w:color="003300"/>
            </w:tcBorders>
            <w:shd w:val="clear" w:color="auto" w:fill="auto"/>
            <w:vAlign w:val="center"/>
            <w:hideMark/>
          </w:tcPr>
          <w:p w:rsidR="00385061" w:rsidRPr="00920632" w:rsidRDefault="00385061" w:rsidP="009C12A1">
            <w:pPr>
              <w:spacing w:after="0" w:line="240" w:lineRule="auto"/>
              <w:rPr>
                <w:rFonts w:ascii="Montserrat" w:eastAsia="Times New Roman" w:hAnsi="Montserrat" w:cs="Calibri"/>
                <w:color w:val="000000"/>
                <w:sz w:val="14"/>
                <w:szCs w:val="14"/>
                <w:lang w:eastAsia="es-MX"/>
              </w:rPr>
            </w:pPr>
            <w:r w:rsidRPr="00920632">
              <w:rPr>
                <w:rFonts w:ascii="Montserrat" w:eastAsia="Times New Roman" w:hAnsi="Montserrat" w:cs="Calibri"/>
                <w:b/>
                <w:bCs/>
                <w:color w:val="000000"/>
                <w:sz w:val="14"/>
                <w:szCs w:val="14"/>
                <w:lang w:eastAsia="es-MX"/>
              </w:rPr>
              <w:t>Centros de diálisis:</w:t>
            </w:r>
            <w:r w:rsidRPr="00920632">
              <w:rPr>
                <w:rFonts w:ascii="Montserrat" w:eastAsia="Times New Roman" w:hAnsi="Montserrat" w:cs="Calibri"/>
                <w:color w:val="000000"/>
                <w:sz w:val="14"/>
                <w:szCs w:val="14"/>
                <w:lang w:eastAsia="es-MX"/>
              </w:rPr>
              <w:t xml:space="preserve"> Establecimientos con personal médico que brindan principalmente servicios ambulatorios de diálisis renal.</w:t>
            </w:r>
          </w:p>
        </w:tc>
        <w:tc>
          <w:tcPr>
            <w:tcW w:w="3081" w:type="dxa"/>
            <w:tcBorders>
              <w:top w:val="nil"/>
              <w:left w:val="nil"/>
              <w:bottom w:val="single" w:sz="4" w:space="0" w:color="auto"/>
              <w:right w:val="single" w:sz="4" w:space="0" w:color="003300"/>
            </w:tcBorders>
            <w:shd w:val="clear" w:color="auto" w:fill="auto"/>
            <w:vAlign w:val="center"/>
            <w:hideMark/>
          </w:tcPr>
          <w:p w:rsidR="00385061" w:rsidRPr="00920632" w:rsidRDefault="00385061" w:rsidP="009C12A1">
            <w:pPr>
              <w:spacing w:after="0" w:line="240" w:lineRule="auto"/>
              <w:rPr>
                <w:rFonts w:ascii="Montserrat" w:eastAsia="Times New Roman" w:hAnsi="Montserrat" w:cs="Calibri"/>
                <w:color w:val="000000"/>
                <w:sz w:val="14"/>
                <w:szCs w:val="14"/>
                <w:lang w:eastAsia="es-MX"/>
              </w:rPr>
            </w:pPr>
            <w:r w:rsidRPr="00920632">
              <w:rPr>
                <w:rFonts w:ascii="Montserrat" w:eastAsia="Times New Roman" w:hAnsi="Montserrat" w:cs="Calibri"/>
                <w:color w:val="000000"/>
                <w:sz w:val="14"/>
                <w:szCs w:val="14"/>
                <w:lang w:eastAsia="es-MX"/>
              </w:rPr>
              <w:t> </w:t>
            </w:r>
          </w:p>
        </w:tc>
      </w:tr>
    </w:tbl>
    <w:p w:rsidR="00C575B1" w:rsidRPr="006B3DC1" w:rsidRDefault="00C575B1" w:rsidP="00C575B1">
      <w:pPr>
        <w:pStyle w:val="NayeliSalud"/>
        <w:jc w:val="both"/>
        <w:rPr>
          <w:rFonts w:ascii="Montserrat" w:hAnsi="Montserrat"/>
          <w:sz w:val="22"/>
        </w:rPr>
      </w:pPr>
      <w:bookmarkStart w:id="0" w:name="_GoBack"/>
      <w:bookmarkEnd w:id="0"/>
    </w:p>
    <w:p w:rsidR="00F50C40" w:rsidRPr="006B3DC1" w:rsidRDefault="00F50C40" w:rsidP="00882E26">
      <w:pPr>
        <w:pStyle w:val="NayeliSalud"/>
        <w:jc w:val="both"/>
        <w:rPr>
          <w:rFonts w:ascii="Montserrat" w:hAnsi="Montserrat"/>
          <w:sz w:val="22"/>
        </w:rPr>
      </w:pPr>
    </w:p>
    <w:p w:rsidR="00882E26" w:rsidRDefault="00882E26" w:rsidP="00882E26">
      <w:pPr>
        <w:pStyle w:val="NayeliSalud"/>
        <w:jc w:val="both"/>
        <w:rPr>
          <w:rFonts w:ascii="Montserrat" w:hAnsi="Montserrat"/>
          <w:sz w:val="22"/>
        </w:rPr>
      </w:pPr>
    </w:p>
    <w:p w:rsidR="00E07832" w:rsidRPr="006B3DC1" w:rsidRDefault="00E07832" w:rsidP="00882E26">
      <w:pPr>
        <w:pStyle w:val="NayeliSalud"/>
        <w:jc w:val="both"/>
        <w:rPr>
          <w:rFonts w:ascii="Montserrat" w:hAnsi="Montserrat"/>
          <w:sz w:val="22"/>
        </w:rPr>
      </w:pPr>
    </w:p>
    <w:p w:rsidR="00104BCC" w:rsidRPr="006B3DC1" w:rsidRDefault="00104BCC" w:rsidP="00F065AA">
      <w:pPr>
        <w:pStyle w:val="NayeliSalud"/>
        <w:jc w:val="both"/>
        <w:rPr>
          <w:rFonts w:ascii="Montserrat" w:hAnsi="Montserrat"/>
          <w:b/>
          <w:color w:val="003300"/>
          <w:sz w:val="28"/>
          <w:szCs w:val="28"/>
        </w:rPr>
      </w:pPr>
    </w:p>
    <w:p w:rsidR="00F065AA" w:rsidRPr="00850A96" w:rsidRDefault="00F065AA" w:rsidP="00F065AA">
      <w:pPr>
        <w:pStyle w:val="NayeliSalud"/>
        <w:jc w:val="both"/>
        <w:rPr>
          <w:rFonts w:ascii="Montserrat" w:hAnsi="Montserrat"/>
          <w:b/>
          <w:color w:val="13322B" w:themeColor="accent3"/>
          <w:sz w:val="24"/>
          <w:szCs w:val="24"/>
        </w:rPr>
      </w:pPr>
      <w:r w:rsidRPr="00850A96">
        <w:rPr>
          <w:rFonts w:ascii="Montserrat" w:hAnsi="Montserrat"/>
          <w:b/>
          <w:color w:val="13322B" w:themeColor="accent3"/>
          <w:sz w:val="24"/>
          <w:szCs w:val="24"/>
        </w:rPr>
        <w:lastRenderedPageBreak/>
        <w:t>ANEXO I.</w:t>
      </w:r>
    </w:p>
    <w:p w:rsidR="00F065AA" w:rsidRPr="00850A96" w:rsidRDefault="00F065AA" w:rsidP="00F065AA">
      <w:pPr>
        <w:pStyle w:val="NayeliSalud"/>
        <w:jc w:val="both"/>
        <w:rPr>
          <w:rFonts w:ascii="Montserrat" w:hAnsi="Montserrat"/>
          <w:b/>
          <w:color w:val="13322B" w:themeColor="accent3"/>
          <w:sz w:val="24"/>
          <w:szCs w:val="24"/>
        </w:rPr>
      </w:pPr>
      <w:r w:rsidRPr="00850A96">
        <w:rPr>
          <w:rFonts w:ascii="Montserrat" w:hAnsi="Montserrat"/>
          <w:b/>
          <w:color w:val="13322B" w:themeColor="accent3"/>
          <w:sz w:val="24"/>
          <w:szCs w:val="24"/>
        </w:rPr>
        <w:t>Descripción de las categorías de los Proveedores de Servicios de Salud.</w:t>
      </w:r>
    </w:p>
    <w:p w:rsidR="00F065AA" w:rsidRPr="00850A96" w:rsidRDefault="00F065AA" w:rsidP="00F065AA">
      <w:pPr>
        <w:pStyle w:val="NayeliSalud"/>
        <w:jc w:val="both"/>
        <w:rPr>
          <w:rFonts w:ascii="Montserrat" w:hAnsi="Montserrat"/>
          <w:sz w:val="22"/>
        </w:rPr>
      </w:pPr>
      <w:r w:rsidRPr="00850A96">
        <w:rPr>
          <w:rFonts w:ascii="Montserrat" w:hAnsi="Montserrat"/>
          <w:sz w:val="22"/>
        </w:rPr>
        <w:t xml:space="preserve">Como ya se ha mencionado, para aquellos que su principal actividad es la prestación de bienes y servicios de salud se tienen reservadas las categorías HP.1 a HP.6. Una organización que produce servicios de salud y en cuya producción más del 50% del valor agregado proviene de actividades de salud, cabe en esta categorización. A </w:t>
      </w:r>
      <w:r w:rsidR="00850A96" w:rsidRPr="00850A96">
        <w:rPr>
          <w:rFonts w:ascii="Montserrat" w:hAnsi="Montserrat"/>
          <w:sz w:val="22"/>
        </w:rPr>
        <w:t>continuación,</w:t>
      </w:r>
      <w:r w:rsidRPr="00850A96">
        <w:rPr>
          <w:rFonts w:ascii="Montserrat" w:hAnsi="Montserrat"/>
          <w:sz w:val="22"/>
        </w:rPr>
        <w:t xml:space="preserve"> se describen a detalle las características de cada una de estas. </w:t>
      </w:r>
    </w:p>
    <w:p w:rsidR="00F065AA" w:rsidRPr="00850A96" w:rsidRDefault="00F065AA" w:rsidP="00F065AA">
      <w:pPr>
        <w:pStyle w:val="NayeliSalud"/>
        <w:jc w:val="both"/>
        <w:rPr>
          <w:rFonts w:ascii="Montserrat" w:hAnsi="Montserrat"/>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 xml:space="preserve">HP. 1 Hospitales </w:t>
      </w:r>
    </w:p>
    <w:p w:rsidR="00F065AA" w:rsidRPr="00850A96" w:rsidRDefault="00F065AA" w:rsidP="00F065AA">
      <w:pPr>
        <w:pStyle w:val="NayeliSalud"/>
        <w:jc w:val="both"/>
        <w:rPr>
          <w:rFonts w:ascii="Montserrat" w:hAnsi="Montserrat"/>
          <w:sz w:val="22"/>
        </w:rPr>
      </w:pPr>
      <w:r w:rsidRPr="00850A96">
        <w:rPr>
          <w:rFonts w:ascii="Montserrat" w:hAnsi="Montserrat"/>
          <w:sz w:val="22"/>
        </w:rPr>
        <w:t>Establecimientos autorizados cuya actividad principal es suministrar servicios médicos, de diagnóstico y tratamiento, lo que incluye médicos, enfermeras y otros servicios de salud para pacientes internos y los servicios especializados de alojamiento que requiere este tipo de pacientes. También pueden prestar servicios de atención ambulatoria, de atención de día y atención domiciliaria como actividades secundarias.</w:t>
      </w:r>
    </w:p>
    <w:p w:rsidR="00F065AA" w:rsidRPr="00850A96" w:rsidRDefault="00F065AA" w:rsidP="00F065AA">
      <w:pPr>
        <w:pStyle w:val="NayeliSalud"/>
        <w:jc w:val="both"/>
        <w:rPr>
          <w:rFonts w:ascii="Montserrat" w:hAnsi="Montserrat"/>
          <w:color w:val="142D26" w:themeColor="accent1" w:themeShade="80"/>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HP.2 Establecimientos de atención residencial de larga duración</w:t>
      </w:r>
    </w:p>
    <w:p w:rsidR="00F065AA" w:rsidRDefault="00F065AA" w:rsidP="00F065AA">
      <w:pPr>
        <w:pStyle w:val="NayeliSalud"/>
        <w:jc w:val="both"/>
        <w:rPr>
          <w:rFonts w:ascii="Montserrat" w:hAnsi="Montserrat"/>
          <w:sz w:val="22"/>
        </w:rPr>
      </w:pPr>
      <w:r w:rsidRPr="00850A96">
        <w:rPr>
          <w:rFonts w:ascii="Montserrat" w:hAnsi="Montserrat"/>
          <w:sz w:val="22"/>
        </w:rPr>
        <w:t>Establecimientos dedicados principalmente a prestar servicios de salud en régimen residencial de larga duración junto a servicios de atención de enfermería, supervisión y otros tipos de atenció</w:t>
      </w:r>
      <w:r w:rsidR="00850A96">
        <w:rPr>
          <w:rFonts w:ascii="Montserrat" w:hAnsi="Montserrat"/>
          <w:sz w:val="22"/>
        </w:rPr>
        <w:t>n que necesiten los residentes.</w:t>
      </w:r>
    </w:p>
    <w:p w:rsidR="00850A96" w:rsidRPr="00850A96" w:rsidRDefault="00850A96" w:rsidP="00F065AA">
      <w:pPr>
        <w:pStyle w:val="NayeliSalud"/>
        <w:jc w:val="both"/>
        <w:rPr>
          <w:rFonts w:ascii="Montserrat" w:hAnsi="Montserrat"/>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HP.3 Proveedores de salud ambulatoria</w:t>
      </w:r>
    </w:p>
    <w:p w:rsidR="00F065AA" w:rsidRDefault="00F065AA" w:rsidP="00F065AA">
      <w:pPr>
        <w:pStyle w:val="NayeliSalud"/>
        <w:jc w:val="both"/>
        <w:rPr>
          <w:rFonts w:ascii="Montserrat" w:hAnsi="Montserrat"/>
          <w:sz w:val="22"/>
        </w:rPr>
      </w:pPr>
      <w:r w:rsidRPr="00850A96">
        <w:rPr>
          <w:rFonts w:ascii="Montserrat" w:hAnsi="Montserrat"/>
          <w:sz w:val="22"/>
        </w:rPr>
        <w:t>Establecimientos cuya actividad se centra en brindar servicios de salud directamente a pacientes ambulatorios que no requieren internamiento. Incluye consultorios de médicos de medicina general y especialistas, establecimientos especializados en el tratamiento de pacientes en atención de día y en la prestación de atención domiciliaria.</w:t>
      </w:r>
    </w:p>
    <w:p w:rsidR="00850A96" w:rsidRPr="00850A96" w:rsidRDefault="00850A96" w:rsidP="00F065AA">
      <w:pPr>
        <w:pStyle w:val="NayeliSalud"/>
        <w:jc w:val="both"/>
        <w:rPr>
          <w:rFonts w:ascii="Montserrat" w:hAnsi="Montserrat"/>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HP.4 Proveedores de servicios auxiliares</w:t>
      </w:r>
    </w:p>
    <w:p w:rsidR="00F065AA" w:rsidRPr="00850A96" w:rsidRDefault="00F065AA" w:rsidP="00F065AA">
      <w:pPr>
        <w:pStyle w:val="NayeliSalud"/>
        <w:jc w:val="both"/>
        <w:rPr>
          <w:rFonts w:ascii="Montserrat" w:hAnsi="Montserrat"/>
          <w:sz w:val="22"/>
        </w:rPr>
      </w:pPr>
      <w:r w:rsidRPr="00850A96">
        <w:rPr>
          <w:rFonts w:ascii="Montserrat" w:hAnsi="Montserrat"/>
          <w:sz w:val="22"/>
        </w:rPr>
        <w:t>Organizaciones especializadas que prestan servicios auxiliares específicos directamente a pacientes ambulatorios bajo supervisión de profesionales de la salud, que no se encuentran incluidos dentro del episodio de tratamiento en hospitales, establecimientos de atención de enfermería, proveedores de atención ambulatoria u otros proveedores.</w:t>
      </w:r>
    </w:p>
    <w:p w:rsidR="00F065AA" w:rsidRPr="00850A96" w:rsidRDefault="00F065AA" w:rsidP="00F065AA">
      <w:pPr>
        <w:pStyle w:val="NayeliSalud"/>
        <w:jc w:val="both"/>
        <w:rPr>
          <w:rFonts w:ascii="Montserrat" w:hAnsi="Montserrat"/>
          <w:color w:val="9D2449" w:themeColor="accent2"/>
          <w:sz w:val="22"/>
        </w:rPr>
      </w:pPr>
    </w:p>
    <w:p w:rsidR="00F065AA" w:rsidRPr="00E07832" w:rsidRDefault="00F065AA" w:rsidP="00F065AA">
      <w:pPr>
        <w:pStyle w:val="NayeliSalud"/>
        <w:jc w:val="both"/>
        <w:rPr>
          <w:rFonts w:ascii="Montserrat" w:hAnsi="Montserrat"/>
          <w:b/>
          <w:sz w:val="22"/>
        </w:rPr>
      </w:pPr>
      <w:r w:rsidRPr="00E07832">
        <w:rPr>
          <w:rFonts w:ascii="Montserrat" w:hAnsi="Montserrat"/>
          <w:b/>
          <w:color w:val="9D2449" w:themeColor="accent2"/>
          <w:sz w:val="22"/>
        </w:rPr>
        <w:t>HP.5 Minoristas y otros proveedores de bienes médicos</w:t>
      </w:r>
    </w:p>
    <w:p w:rsidR="00F065AA" w:rsidRPr="00850A96" w:rsidRDefault="00F065AA" w:rsidP="00F065AA">
      <w:pPr>
        <w:pStyle w:val="NayeliSalud"/>
        <w:jc w:val="both"/>
        <w:rPr>
          <w:rFonts w:ascii="Montserrat" w:hAnsi="Montserrat"/>
          <w:sz w:val="22"/>
        </w:rPr>
      </w:pPr>
      <w:r w:rsidRPr="00850A96">
        <w:rPr>
          <w:rFonts w:ascii="Montserrat" w:hAnsi="Montserrat"/>
          <w:sz w:val="22"/>
        </w:rPr>
        <w:t xml:space="preserve">Establecimientos que se dedican principalmente a la venta al detalle de bienes médicos al público en general para consumo o utilización individual o de los hogares. Incluye también </w:t>
      </w:r>
      <w:r w:rsidRPr="00850A96">
        <w:rPr>
          <w:rFonts w:ascii="Montserrat" w:hAnsi="Montserrat"/>
          <w:sz w:val="22"/>
        </w:rPr>
        <w:lastRenderedPageBreak/>
        <w:t>establecimientos cuya actividad principal es la fabricación de bienes médicos como de lentes, aparatos ortopédicos, y prótesis que se venden para</w:t>
      </w:r>
      <w:r w:rsidR="00850A96">
        <w:rPr>
          <w:rFonts w:ascii="Montserrat" w:hAnsi="Montserrat"/>
          <w:sz w:val="22"/>
        </w:rPr>
        <w:t xml:space="preserve"> uso personal o de los hogares.</w:t>
      </w:r>
    </w:p>
    <w:p w:rsidR="00850A96" w:rsidRPr="00850A96" w:rsidRDefault="00850A96" w:rsidP="00F065AA">
      <w:pPr>
        <w:pStyle w:val="NayeliSalud"/>
        <w:jc w:val="both"/>
        <w:rPr>
          <w:rFonts w:ascii="Montserrat" w:hAnsi="Montserrat"/>
          <w:color w:val="9D2449" w:themeColor="accent2"/>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HP.6 Proveedores de atención preventiva</w:t>
      </w:r>
    </w:p>
    <w:p w:rsidR="00F065AA" w:rsidRPr="00850A96" w:rsidRDefault="00F065AA" w:rsidP="00F065AA">
      <w:pPr>
        <w:pStyle w:val="NayeliSalud"/>
        <w:jc w:val="both"/>
        <w:rPr>
          <w:rFonts w:ascii="Montserrat" w:hAnsi="Montserrat"/>
          <w:sz w:val="22"/>
        </w:rPr>
      </w:pPr>
      <w:r w:rsidRPr="00850A96">
        <w:rPr>
          <w:rFonts w:ascii="Montserrat" w:hAnsi="Montserrat"/>
          <w:sz w:val="22"/>
        </w:rPr>
        <w:t>Organizaciones que se encargan de los programas y campañas de prevención dirigidos a grupos específicos de personas o población, tales como agencias de promoción de la salud, institutos de salud pública y establecimiento especializados cuya principal actividad sea la prestación de atención preventiva. Incluye campañas de promoción de los estilos sanos de vida en colegios.</w:t>
      </w:r>
    </w:p>
    <w:p w:rsidR="00F065AA" w:rsidRDefault="00F065AA" w:rsidP="00F065AA">
      <w:pPr>
        <w:pStyle w:val="NayeliSalud"/>
        <w:jc w:val="both"/>
        <w:rPr>
          <w:rFonts w:ascii="Montserrat" w:hAnsi="Montserrat"/>
          <w:sz w:val="22"/>
        </w:rPr>
      </w:pPr>
      <w:r w:rsidRPr="00850A96">
        <w:rPr>
          <w:rFonts w:ascii="Montserrat" w:hAnsi="Montserrat"/>
          <w:sz w:val="22"/>
        </w:rPr>
        <w:t>Todos los proveedores secundarios de salud que presten bienes y servicios de salud directamente a los consumidores se clasifica en dos categorías: HP.7 y HP.8, que a continuación se describen:</w:t>
      </w:r>
    </w:p>
    <w:p w:rsidR="00850A96" w:rsidRPr="00850A96" w:rsidRDefault="00850A96" w:rsidP="00F065AA">
      <w:pPr>
        <w:pStyle w:val="NayeliSalud"/>
        <w:jc w:val="both"/>
        <w:rPr>
          <w:rFonts w:ascii="Montserrat" w:hAnsi="Montserrat"/>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HP.7 Proveedores de financiamiento y administración del sistema de salud</w:t>
      </w:r>
    </w:p>
    <w:p w:rsidR="00F065AA" w:rsidRDefault="00F065AA" w:rsidP="00F065AA">
      <w:pPr>
        <w:pStyle w:val="NayeliSalud"/>
        <w:jc w:val="both"/>
        <w:rPr>
          <w:rFonts w:ascii="Montserrat" w:hAnsi="Montserrat"/>
          <w:sz w:val="22"/>
        </w:rPr>
      </w:pPr>
      <w:r w:rsidRPr="00850A96">
        <w:rPr>
          <w:rFonts w:ascii="Montserrat" w:hAnsi="Montserrat"/>
          <w:sz w:val="22"/>
        </w:rPr>
        <w:t>Establecimientos que se encargan principalmente de regular las actividades de las entidades que prestan servicios de salud, así como de la administración general del sistema, incluida la gestión del financiamiento de la salud.</w:t>
      </w:r>
    </w:p>
    <w:p w:rsidR="00850A96" w:rsidRPr="00850A96" w:rsidRDefault="00850A96" w:rsidP="00F065AA">
      <w:pPr>
        <w:pStyle w:val="NayeliSalud"/>
        <w:jc w:val="both"/>
        <w:rPr>
          <w:rFonts w:ascii="Montserrat" w:hAnsi="Montserrat"/>
          <w:sz w:val="22"/>
        </w:rPr>
      </w:pP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HP.8 Resto de la economía</w:t>
      </w:r>
    </w:p>
    <w:p w:rsidR="00F065AA" w:rsidRPr="00850A96" w:rsidRDefault="00F065AA" w:rsidP="00F065AA">
      <w:pPr>
        <w:pStyle w:val="NayeliSalud"/>
        <w:jc w:val="both"/>
        <w:rPr>
          <w:rFonts w:ascii="Montserrat" w:hAnsi="Montserrat"/>
          <w:sz w:val="22"/>
        </w:rPr>
      </w:pPr>
      <w:r w:rsidRPr="00850A96">
        <w:rPr>
          <w:rFonts w:ascii="Montserrat" w:hAnsi="Montserrat"/>
          <w:sz w:val="22"/>
        </w:rPr>
        <w:t>Incluye a los hogares como proveedores de atención de la salud a familiares, cuando existe una transferencia de apoyo social por hacerlo, y otras industrias que ofrecen atención de la salud como actividad secundaria.</w:t>
      </w:r>
    </w:p>
    <w:p w:rsidR="00F065AA" w:rsidRPr="00850A96" w:rsidRDefault="00F065AA" w:rsidP="00F065AA">
      <w:pPr>
        <w:pStyle w:val="NayeliSalud"/>
        <w:jc w:val="both"/>
        <w:rPr>
          <w:rFonts w:ascii="Montserrat" w:hAnsi="Montserrat"/>
          <w:color w:val="9D2449" w:themeColor="accent2"/>
          <w:sz w:val="22"/>
        </w:rPr>
      </w:pPr>
      <w:r w:rsidRPr="00850A96">
        <w:rPr>
          <w:rFonts w:ascii="Montserrat" w:hAnsi="Montserrat"/>
          <w:color w:val="142D26" w:themeColor="accent1" w:themeShade="80"/>
          <w:sz w:val="22"/>
        </w:rPr>
        <w:t xml:space="preserve"> </w:t>
      </w:r>
    </w:p>
    <w:p w:rsidR="00F065AA" w:rsidRPr="00E07832" w:rsidRDefault="00F065AA" w:rsidP="00F065AA">
      <w:pPr>
        <w:pStyle w:val="NayeliSalud"/>
        <w:jc w:val="both"/>
        <w:rPr>
          <w:rFonts w:ascii="Montserrat" w:hAnsi="Montserrat"/>
          <w:b/>
          <w:color w:val="9D2449" w:themeColor="accent2"/>
          <w:sz w:val="22"/>
        </w:rPr>
      </w:pPr>
      <w:r w:rsidRPr="00E07832">
        <w:rPr>
          <w:rFonts w:ascii="Montserrat" w:hAnsi="Montserrat"/>
          <w:b/>
          <w:color w:val="9D2449" w:themeColor="accent2"/>
          <w:sz w:val="22"/>
        </w:rPr>
        <w:t>HP.9 Resto del mundo</w:t>
      </w:r>
    </w:p>
    <w:p w:rsidR="00882E26" w:rsidRPr="00850A96" w:rsidRDefault="00F065AA" w:rsidP="0053167F">
      <w:pPr>
        <w:pStyle w:val="NayeliSalud"/>
        <w:jc w:val="both"/>
        <w:rPr>
          <w:rFonts w:ascii="Montserrat" w:hAnsi="Montserrat"/>
          <w:b/>
          <w:color w:val="003300"/>
          <w:sz w:val="22"/>
        </w:rPr>
      </w:pPr>
      <w:r w:rsidRPr="00850A96">
        <w:rPr>
          <w:rFonts w:ascii="Montserrat" w:hAnsi="Montserrat"/>
          <w:sz w:val="22"/>
        </w:rPr>
        <w:t>Todas las unidades no residentes que prestan bienes y servicios de salud, así como las que realizan actividades relacionadas con la salud. En ambos casos, la prestación se dirige para su uso final a los residentes en el país.</w:t>
      </w:r>
    </w:p>
    <w:sectPr w:rsidR="00882E26" w:rsidRPr="00850A96" w:rsidSect="006B3DC1">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FBA" w:rsidRDefault="00067FBA" w:rsidP="00917738">
      <w:pPr>
        <w:spacing w:after="0" w:line="240" w:lineRule="auto"/>
      </w:pPr>
      <w:r>
        <w:separator/>
      </w:r>
    </w:p>
  </w:endnote>
  <w:endnote w:type="continuationSeparator" w:id="0">
    <w:p w:rsidR="00067FBA" w:rsidRDefault="00067FBA" w:rsidP="00917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Soberana Sans">
    <w:panose1 w:val="02000000000000000000"/>
    <w:charset w:val="00"/>
    <w:family w:val="modern"/>
    <w:notTrueType/>
    <w:pitch w:val="variable"/>
    <w:sig w:usb0="800000AF" w:usb1="40002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Microsoft Sans Serif">
    <w:panose1 w:val="020B060402020202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DF" w:rsidRDefault="001F18D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DF" w:rsidRDefault="001F18D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DF" w:rsidRDefault="001F18D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FBA" w:rsidRDefault="00067FBA" w:rsidP="00917738">
      <w:pPr>
        <w:spacing w:after="0" w:line="240" w:lineRule="auto"/>
      </w:pPr>
      <w:r>
        <w:separator/>
      </w:r>
    </w:p>
  </w:footnote>
  <w:footnote w:type="continuationSeparator" w:id="0">
    <w:p w:rsidR="00067FBA" w:rsidRDefault="00067FBA" w:rsidP="009177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DF" w:rsidRDefault="00067FB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2123626" o:spid="_x0000_s2051" type="#_x0000_t75" style="position:absolute;margin-left:0;margin-top:0;width:639.45pt;height:826.75pt;z-index:-251655168;mso-position-horizontal:center;mso-position-horizontal-relative:margin;mso-position-vertical:center;mso-position-vertical-relative:margin" o:allowincell="f">
          <v:imagedata r:id="rId1" o:title="Marca de Agua 4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DC1" w:rsidRPr="006B1ACA" w:rsidRDefault="00067FBA" w:rsidP="006B3DC1">
    <w:pPr>
      <w:pStyle w:val="Encabezado"/>
      <w:rPr>
        <w:rFonts w:ascii="Montserrat" w:hAnsi="Montserrat"/>
        <w:color w:val="BC7D00"/>
      </w:rPr>
    </w:pPr>
    <w:r>
      <w:rPr>
        <w:noProof/>
        <w:color w:val="BC7D00"/>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2123627" o:spid="_x0000_s2052" type="#_x0000_t75" style="position:absolute;margin-left:0;margin-top:0;width:639.45pt;height:826.75pt;z-index:-251654144;mso-position-horizontal:center;mso-position-horizontal-relative:margin;mso-position-vertical:center;mso-position-vertical-relative:margin" o:allowincell="f">
          <v:imagedata r:id="rId1" o:title="Marca de Agua 4t"/>
          <w10:wrap anchorx="margin" anchory="margin"/>
        </v:shape>
      </w:pict>
    </w:r>
    <w:r w:rsidR="006B3DC1" w:rsidRPr="006B1ACA">
      <w:rPr>
        <w:noProof/>
        <w:color w:val="BC7D00"/>
        <w:lang w:eastAsia="es-MX"/>
      </w:rPr>
      <w:drawing>
        <wp:anchor distT="0" distB="0" distL="114300" distR="114300" simplePos="0" relativeHeight="251659264" behindDoc="0" locked="0" layoutInCell="1" allowOverlap="1" wp14:anchorId="36FD5D38" wp14:editId="30EDF367">
          <wp:simplePos x="0" y="0"/>
          <wp:positionH relativeFrom="column">
            <wp:posOffset>-130415</wp:posOffset>
          </wp:positionH>
          <wp:positionV relativeFrom="paragraph">
            <wp:posOffset>-130040</wp:posOffset>
          </wp:positionV>
          <wp:extent cx="2233868" cy="525780"/>
          <wp:effectExtent l="0" t="0" r="0" b="7620"/>
          <wp:wrapSquare wrapText="bothSides"/>
          <wp:docPr id="4" name="Imagen 4"/>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2">
                    <a:extLst>
                      <a:ext uri="{28A0092B-C50C-407E-A947-70E740481C1C}">
                        <a14:useLocalDpi xmlns:a14="http://schemas.microsoft.com/office/drawing/2010/main" val="0"/>
                      </a:ext>
                    </a:extLst>
                  </a:blip>
                  <a:srcRect l="3767" t="12940" r="42032" b="15315"/>
                  <a:stretch/>
                </pic:blipFill>
                <pic:spPr bwMode="auto">
                  <a:xfrm>
                    <a:off x="0" y="0"/>
                    <a:ext cx="2233868" cy="525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B3DC1" w:rsidRPr="006B1ACA">
      <w:rPr>
        <w:rFonts w:ascii="Montserrat" w:hAnsi="Montserrat"/>
        <w:color w:val="BC7D00"/>
      </w:rPr>
      <w:t>Subsecretaria de Integración y Desarrollo del Sector Salud</w:t>
    </w:r>
  </w:p>
  <w:p w:rsidR="006B3DC1" w:rsidRDefault="006B3DC1" w:rsidP="006B3DC1">
    <w:pPr>
      <w:pStyle w:val="Encabezado"/>
      <w:jc w:val="center"/>
      <w:rPr>
        <w:rFonts w:ascii="Montserrat" w:hAnsi="Montserrat"/>
        <w:color w:val="BC7D00"/>
      </w:rPr>
    </w:pPr>
    <w:r w:rsidRPr="006B1ACA">
      <w:rPr>
        <w:rFonts w:ascii="Montserrat" w:hAnsi="Montserrat"/>
        <w:color w:val="BC7D00"/>
      </w:rPr>
      <w:t>Dirección General de Información en Salud</w:t>
    </w:r>
  </w:p>
  <w:p w:rsidR="006B3DC1" w:rsidRDefault="006B3D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8DF" w:rsidRDefault="00067FB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2123625" o:spid="_x0000_s2050" type="#_x0000_t75" style="position:absolute;margin-left:0;margin-top:0;width:639.45pt;height:826.75pt;z-index:-251656192;mso-position-horizontal:center;mso-position-horizontal-relative:margin;mso-position-vertical:center;mso-position-vertical-relative:margin" o:allowincell="f">
          <v:imagedata r:id="rId1" o:title="Marca de Agua 4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D2254"/>
    <w:multiLevelType w:val="hybridMultilevel"/>
    <w:tmpl w:val="7E92235A"/>
    <w:lvl w:ilvl="0" w:tplc="ABD8F552">
      <w:start w:val="1"/>
      <w:numFmt w:val="decimal"/>
      <w:lvlText w:val="%1."/>
      <w:lvlJc w:val="left"/>
      <w:pPr>
        <w:ind w:left="786"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1F068CF"/>
    <w:multiLevelType w:val="hybridMultilevel"/>
    <w:tmpl w:val="7E92235A"/>
    <w:lvl w:ilvl="0" w:tplc="ABD8F552">
      <w:start w:val="1"/>
      <w:numFmt w:val="decimal"/>
      <w:lvlText w:val="%1."/>
      <w:lvlJc w:val="left"/>
      <w:pPr>
        <w:ind w:left="786"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BC741ED"/>
    <w:multiLevelType w:val="hybridMultilevel"/>
    <w:tmpl w:val="7E92235A"/>
    <w:lvl w:ilvl="0" w:tplc="ABD8F552">
      <w:start w:val="1"/>
      <w:numFmt w:val="decimal"/>
      <w:lvlText w:val="%1."/>
      <w:lvlJc w:val="left"/>
      <w:pPr>
        <w:ind w:left="786"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96B"/>
    <w:rsid w:val="0000098E"/>
    <w:rsid w:val="000047FE"/>
    <w:rsid w:val="00021D76"/>
    <w:rsid w:val="00027084"/>
    <w:rsid w:val="00034A7F"/>
    <w:rsid w:val="00067FBA"/>
    <w:rsid w:val="0007458B"/>
    <w:rsid w:val="000A20F8"/>
    <w:rsid w:val="000D2C9C"/>
    <w:rsid w:val="000E74F9"/>
    <w:rsid w:val="000F1440"/>
    <w:rsid w:val="000F5B1F"/>
    <w:rsid w:val="00104BCC"/>
    <w:rsid w:val="00123ECA"/>
    <w:rsid w:val="00166FB2"/>
    <w:rsid w:val="001820E7"/>
    <w:rsid w:val="00183375"/>
    <w:rsid w:val="00186C32"/>
    <w:rsid w:val="001B22A2"/>
    <w:rsid w:val="001F18DF"/>
    <w:rsid w:val="001F2592"/>
    <w:rsid w:val="001F70F7"/>
    <w:rsid w:val="002616D8"/>
    <w:rsid w:val="002E4A1C"/>
    <w:rsid w:val="002F3552"/>
    <w:rsid w:val="002F4213"/>
    <w:rsid w:val="00304E7A"/>
    <w:rsid w:val="00313F08"/>
    <w:rsid w:val="003572DE"/>
    <w:rsid w:val="0037410B"/>
    <w:rsid w:val="00385061"/>
    <w:rsid w:val="003A45CF"/>
    <w:rsid w:val="003E55CA"/>
    <w:rsid w:val="00454076"/>
    <w:rsid w:val="00455659"/>
    <w:rsid w:val="00463D59"/>
    <w:rsid w:val="00481245"/>
    <w:rsid w:val="00485063"/>
    <w:rsid w:val="00486502"/>
    <w:rsid w:val="004D0A62"/>
    <w:rsid w:val="004F1DC2"/>
    <w:rsid w:val="00522672"/>
    <w:rsid w:val="0053167F"/>
    <w:rsid w:val="005926A1"/>
    <w:rsid w:val="005B04D4"/>
    <w:rsid w:val="005C46DC"/>
    <w:rsid w:val="005C6659"/>
    <w:rsid w:val="005D5C83"/>
    <w:rsid w:val="005F2D1F"/>
    <w:rsid w:val="00604F92"/>
    <w:rsid w:val="00607A31"/>
    <w:rsid w:val="00615349"/>
    <w:rsid w:val="006155B0"/>
    <w:rsid w:val="006204E0"/>
    <w:rsid w:val="00676157"/>
    <w:rsid w:val="006B3DC1"/>
    <w:rsid w:val="006B3FB9"/>
    <w:rsid w:val="006B622E"/>
    <w:rsid w:val="006D0CD8"/>
    <w:rsid w:val="006D46C2"/>
    <w:rsid w:val="006E4FA8"/>
    <w:rsid w:val="006E6CD1"/>
    <w:rsid w:val="00703439"/>
    <w:rsid w:val="00720D35"/>
    <w:rsid w:val="0079686F"/>
    <w:rsid w:val="007A1ADF"/>
    <w:rsid w:val="007B1D9C"/>
    <w:rsid w:val="007D4F22"/>
    <w:rsid w:val="008102CD"/>
    <w:rsid w:val="00840523"/>
    <w:rsid w:val="00850A96"/>
    <w:rsid w:val="00861660"/>
    <w:rsid w:val="00882E26"/>
    <w:rsid w:val="00892E73"/>
    <w:rsid w:val="008B21F4"/>
    <w:rsid w:val="008E4A15"/>
    <w:rsid w:val="008E726A"/>
    <w:rsid w:val="009170C5"/>
    <w:rsid w:val="00917738"/>
    <w:rsid w:val="00930D54"/>
    <w:rsid w:val="00932AEA"/>
    <w:rsid w:val="009336AD"/>
    <w:rsid w:val="0093486D"/>
    <w:rsid w:val="00944CA7"/>
    <w:rsid w:val="009451D3"/>
    <w:rsid w:val="0096611C"/>
    <w:rsid w:val="00991CF5"/>
    <w:rsid w:val="009C23A3"/>
    <w:rsid w:val="009C3B59"/>
    <w:rsid w:val="009D2EFC"/>
    <w:rsid w:val="009E6C08"/>
    <w:rsid w:val="009F35C3"/>
    <w:rsid w:val="009F4E69"/>
    <w:rsid w:val="00A078B9"/>
    <w:rsid w:val="00A25936"/>
    <w:rsid w:val="00A63729"/>
    <w:rsid w:val="00A6518F"/>
    <w:rsid w:val="00A9733F"/>
    <w:rsid w:val="00AA5664"/>
    <w:rsid w:val="00AC077F"/>
    <w:rsid w:val="00AD3E18"/>
    <w:rsid w:val="00AE09B9"/>
    <w:rsid w:val="00AF596B"/>
    <w:rsid w:val="00B310FE"/>
    <w:rsid w:val="00B44EE7"/>
    <w:rsid w:val="00B57A4C"/>
    <w:rsid w:val="00B838E4"/>
    <w:rsid w:val="00BA110A"/>
    <w:rsid w:val="00BA58FC"/>
    <w:rsid w:val="00BE0E1B"/>
    <w:rsid w:val="00BF0D14"/>
    <w:rsid w:val="00C14CC9"/>
    <w:rsid w:val="00C20181"/>
    <w:rsid w:val="00C240E2"/>
    <w:rsid w:val="00C328F2"/>
    <w:rsid w:val="00C42410"/>
    <w:rsid w:val="00C575B1"/>
    <w:rsid w:val="00C6145A"/>
    <w:rsid w:val="00C67EC8"/>
    <w:rsid w:val="00C722F9"/>
    <w:rsid w:val="00C728A5"/>
    <w:rsid w:val="00C843F9"/>
    <w:rsid w:val="00CB1144"/>
    <w:rsid w:val="00CB50CE"/>
    <w:rsid w:val="00D0043A"/>
    <w:rsid w:val="00D10462"/>
    <w:rsid w:val="00D132C4"/>
    <w:rsid w:val="00D16812"/>
    <w:rsid w:val="00D22683"/>
    <w:rsid w:val="00D34668"/>
    <w:rsid w:val="00D543A8"/>
    <w:rsid w:val="00D558AB"/>
    <w:rsid w:val="00DD3418"/>
    <w:rsid w:val="00DF248A"/>
    <w:rsid w:val="00DF709C"/>
    <w:rsid w:val="00E07832"/>
    <w:rsid w:val="00E11390"/>
    <w:rsid w:val="00E17ACE"/>
    <w:rsid w:val="00E40C88"/>
    <w:rsid w:val="00E75950"/>
    <w:rsid w:val="00E8168B"/>
    <w:rsid w:val="00EC1854"/>
    <w:rsid w:val="00EF4EDA"/>
    <w:rsid w:val="00F01B0A"/>
    <w:rsid w:val="00F04183"/>
    <w:rsid w:val="00F065AA"/>
    <w:rsid w:val="00F21CF5"/>
    <w:rsid w:val="00F4014A"/>
    <w:rsid w:val="00F40FFA"/>
    <w:rsid w:val="00F44F38"/>
    <w:rsid w:val="00F476F6"/>
    <w:rsid w:val="00F50C40"/>
    <w:rsid w:val="00F55346"/>
    <w:rsid w:val="00F62204"/>
    <w:rsid w:val="00F66527"/>
    <w:rsid w:val="00F96A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F7B19E6"/>
  <w15:chartTrackingRefBased/>
  <w15:docId w15:val="{B32E6BD1-15CB-4D2A-92F8-3D7FCE22B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ayeliSalud">
    <w:name w:val="Nayeli Salud"/>
    <w:basedOn w:val="Normal"/>
    <w:link w:val="NayeliSaludCar"/>
    <w:qFormat/>
    <w:rsid w:val="00AF596B"/>
    <w:rPr>
      <w:rFonts w:ascii="Soberana Sans" w:hAnsi="Soberana Sans"/>
      <w:sz w:val="20"/>
    </w:rPr>
  </w:style>
  <w:style w:type="character" w:styleId="Referenciaintensa">
    <w:name w:val="Intense Reference"/>
    <w:basedOn w:val="Fuentedeprrafopredeter"/>
    <w:uiPriority w:val="32"/>
    <w:qFormat/>
    <w:rsid w:val="00C6145A"/>
    <w:rPr>
      <w:b/>
      <w:bCs/>
      <w:smallCaps/>
      <w:color w:val="285C4D" w:themeColor="accent1"/>
      <w:spacing w:val="5"/>
    </w:rPr>
  </w:style>
  <w:style w:type="character" w:customStyle="1" w:styleId="NayeliSaludCar">
    <w:name w:val="Nayeli Salud Car"/>
    <w:basedOn w:val="Fuentedeprrafopredeter"/>
    <w:link w:val="NayeliSalud"/>
    <w:rsid w:val="00AF596B"/>
    <w:rPr>
      <w:rFonts w:ascii="Soberana Sans" w:hAnsi="Soberana Sans"/>
      <w:sz w:val="20"/>
    </w:rPr>
  </w:style>
  <w:style w:type="character" w:styleId="Hipervnculo">
    <w:name w:val="Hyperlink"/>
    <w:basedOn w:val="Fuentedeprrafopredeter"/>
    <w:uiPriority w:val="99"/>
    <w:unhideWhenUsed/>
    <w:rsid w:val="009D2EFC"/>
    <w:rPr>
      <w:color w:val="CC9900" w:themeColor="hyperlink"/>
      <w:u w:val="single"/>
    </w:rPr>
  </w:style>
  <w:style w:type="paragraph" w:styleId="Encabezado">
    <w:name w:val="header"/>
    <w:basedOn w:val="Normal"/>
    <w:link w:val="EncabezadoCar"/>
    <w:uiPriority w:val="99"/>
    <w:unhideWhenUsed/>
    <w:rsid w:val="009177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17738"/>
  </w:style>
  <w:style w:type="paragraph" w:styleId="Piedepgina">
    <w:name w:val="footer"/>
    <w:basedOn w:val="Normal"/>
    <w:link w:val="PiedepginaCar"/>
    <w:uiPriority w:val="99"/>
    <w:unhideWhenUsed/>
    <w:rsid w:val="009177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17738"/>
  </w:style>
  <w:style w:type="paragraph" w:styleId="Prrafodelista">
    <w:name w:val="List Paragraph"/>
    <w:basedOn w:val="Normal"/>
    <w:uiPriority w:val="34"/>
    <w:qFormat/>
    <w:rsid w:val="00C14CC9"/>
    <w:pPr>
      <w:ind w:left="720"/>
      <w:contextualSpacing/>
    </w:pPr>
  </w:style>
  <w:style w:type="table" w:styleId="Tablaconcuadrcula">
    <w:name w:val="Table Grid"/>
    <w:basedOn w:val="Tablanormal"/>
    <w:uiPriority w:val="39"/>
    <w:rsid w:val="00F55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4809">
      <w:bodyDiv w:val="1"/>
      <w:marLeft w:val="0"/>
      <w:marRight w:val="0"/>
      <w:marTop w:val="0"/>
      <w:marBottom w:val="0"/>
      <w:divBdr>
        <w:top w:val="none" w:sz="0" w:space="0" w:color="auto"/>
        <w:left w:val="none" w:sz="0" w:space="0" w:color="auto"/>
        <w:bottom w:val="none" w:sz="0" w:space="0" w:color="auto"/>
        <w:right w:val="none" w:sz="0" w:space="0" w:color="auto"/>
      </w:divBdr>
    </w:div>
    <w:div w:id="112671727">
      <w:bodyDiv w:val="1"/>
      <w:marLeft w:val="0"/>
      <w:marRight w:val="0"/>
      <w:marTop w:val="0"/>
      <w:marBottom w:val="0"/>
      <w:divBdr>
        <w:top w:val="none" w:sz="0" w:space="0" w:color="auto"/>
        <w:left w:val="none" w:sz="0" w:space="0" w:color="auto"/>
        <w:bottom w:val="none" w:sz="0" w:space="0" w:color="auto"/>
        <w:right w:val="none" w:sz="0" w:space="0" w:color="auto"/>
      </w:divBdr>
    </w:div>
    <w:div w:id="476067278">
      <w:bodyDiv w:val="1"/>
      <w:marLeft w:val="0"/>
      <w:marRight w:val="0"/>
      <w:marTop w:val="0"/>
      <w:marBottom w:val="0"/>
      <w:divBdr>
        <w:top w:val="none" w:sz="0" w:space="0" w:color="auto"/>
        <w:left w:val="none" w:sz="0" w:space="0" w:color="auto"/>
        <w:bottom w:val="none" w:sz="0" w:space="0" w:color="auto"/>
        <w:right w:val="none" w:sz="0" w:space="0" w:color="auto"/>
      </w:divBdr>
    </w:div>
    <w:div w:id="537623628">
      <w:bodyDiv w:val="1"/>
      <w:marLeft w:val="0"/>
      <w:marRight w:val="0"/>
      <w:marTop w:val="0"/>
      <w:marBottom w:val="0"/>
      <w:divBdr>
        <w:top w:val="none" w:sz="0" w:space="0" w:color="auto"/>
        <w:left w:val="none" w:sz="0" w:space="0" w:color="auto"/>
        <w:bottom w:val="none" w:sz="0" w:space="0" w:color="auto"/>
        <w:right w:val="none" w:sz="0" w:space="0" w:color="auto"/>
      </w:divBdr>
    </w:div>
    <w:div w:id="567572877">
      <w:bodyDiv w:val="1"/>
      <w:marLeft w:val="0"/>
      <w:marRight w:val="0"/>
      <w:marTop w:val="0"/>
      <w:marBottom w:val="0"/>
      <w:divBdr>
        <w:top w:val="none" w:sz="0" w:space="0" w:color="auto"/>
        <w:left w:val="none" w:sz="0" w:space="0" w:color="auto"/>
        <w:bottom w:val="none" w:sz="0" w:space="0" w:color="auto"/>
        <w:right w:val="none" w:sz="0" w:space="0" w:color="auto"/>
      </w:divBdr>
    </w:div>
    <w:div w:id="656150394">
      <w:bodyDiv w:val="1"/>
      <w:marLeft w:val="0"/>
      <w:marRight w:val="0"/>
      <w:marTop w:val="0"/>
      <w:marBottom w:val="0"/>
      <w:divBdr>
        <w:top w:val="none" w:sz="0" w:space="0" w:color="auto"/>
        <w:left w:val="none" w:sz="0" w:space="0" w:color="auto"/>
        <w:bottom w:val="none" w:sz="0" w:space="0" w:color="auto"/>
        <w:right w:val="none" w:sz="0" w:space="0" w:color="auto"/>
      </w:divBdr>
    </w:div>
    <w:div w:id="780882229">
      <w:bodyDiv w:val="1"/>
      <w:marLeft w:val="0"/>
      <w:marRight w:val="0"/>
      <w:marTop w:val="0"/>
      <w:marBottom w:val="0"/>
      <w:divBdr>
        <w:top w:val="none" w:sz="0" w:space="0" w:color="auto"/>
        <w:left w:val="none" w:sz="0" w:space="0" w:color="auto"/>
        <w:bottom w:val="none" w:sz="0" w:space="0" w:color="auto"/>
        <w:right w:val="none" w:sz="0" w:space="0" w:color="auto"/>
      </w:divBdr>
    </w:div>
    <w:div w:id="806313055">
      <w:bodyDiv w:val="1"/>
      <w:marLeft w:val="0"/>
      <w:marRight w:val="0"/>
      <w:marTop w:val="0"/>
      <w:marBottom w:val="0"/>
      <w:divBdr>
        <w:top w:val="none" w:sz="0" w:space="0" w:color="auto"/>
        <w:left w:val="none" w:sz="0" w:space="0" w:color="auto"/>
        <w:bottom w:val="none" w:sz="0" w:space="0" w:color="auto"/>
        <w:right w:val="none" w:sz="0" w:space="0" w:color="auto"/>
      </w:divBdr>
    </w:div>
    <w:div w:id="1008630689">
      <w:bodyDiv w:val="1"/>
      <w:marLeft w:val="0"/>
      <w:marRight w:val="0"/>
      <w:marTop w:val="0"/>
      <w:marBottom w:val="0"/>
      <w:divBdr>
        <w:top w:val="none" w:sz="0" w:space="0" w:color="auto"/>
        <w:left w:val="none" w:sz="0" w:space="0" w:color="auto"/>
        <w:bottom w:val="none" w:sz="0" w:space="0" w:color="auto"/>
        <w:right w:val="none" w:sz="0" w:space="0" w:color="auto"/>
      </w:divBdr>
    </w:div>
    <w:div w:id="1292440807">
      <w:bodyDiv w:val="1"/>
      <w:marLeft w:val="0"/>
      <w:marRight w:val="0"/>
      <w:marTop w:val="0"/>
      <w:marBottom w:val="0"/>
      <w:divBdr>
        <w:top w:val="none" w:sz="0" w:space="0" w:color="auto"/>
        <w:left w:val="none" w:sz="0" w:space="0" w:color="auto"/>
        <w:bottom w:val="none" w:sz="0" w:space="0" w:color="auto"/>
        <w:right w:val="none" w:sz="0" w:space="0" w:color="auto"/>
      </w:divBdr>
    </w:div>
    <w:div w:id="1330989239">
      <w:bodyDiv w:val="1"/>
      <w:marLeft w:val="0"/>
      <w:marRight w:val="0"/>
      <w:marTop w:val="0"/>
      <w:marBottom w:val="0"/>
      <w:divBdr>
        <w:top w:val="none" w:sz="0" w:space="0" w:color="auto"/>
        <w:left w:val="none" w:sz="0" w:space="0" w:color="auto"/>
        <w:bottom w:val="none" w:sz="0" w:space="0" w:color="auto"/>
        <w:right w:val="none" w:sz="0" w:space="0" w:color="auto"/>
      </w:divBdr>
    </w:div>
    <w:div w:id="1340932361">
      <w:bodyDiv w:val="1"/>
      <w:marLeft w:val="0"/>
      <w:marRight w:val="0"/>
      <w:marTop w:val="0"/>
      <w:marBottom w:val="0"/>
      <w:divBdr>
        <w:top w:val="none" w:sz="0" w:space="0" w:color="auto"/>
        <w:left w:val="none" w:sz="0" w:space="0" w:color="auto"/>
        <w:bottom w:val="none" w:sz="0" w:space="0" w:color="auto"/>
        <w:right w:val="none" w:sz="0" w:space="0" w:color="auto"/>
      </w:divBdr>
    </w:div>
    <w:div w:id="1498426225">
      <w:bodyDiv w:val="1"/>
      <w:marLeft w:val="0"/>
      <w:marRight w:val="0"/>
      <w:marTop w:val="0"/>
      <w:marBottom w:val="0"/>
      <w:divBdr>
        <w:top w:val="none" w:sz="0" w:space="0" w:color="auto"/>
        <w:left w:val="none" w:sz="0" w:space="0" w:color="auto"/>
        <w:bottom w:val="none" w:sz="0" w:space="0" w:color="auto"/>
        <w:right w:val="none" w:sz="0" w:space="0" w:color="auto"/>
      </w:divBdr>
    </w:div>
    <w:div w:id="1723820905">
      <w:bodyDiv w:val="1"/>
      <w:marLeft w:val="0"/>
      <w:marRight w:val="0"/>
      <w:marTop w:val="0"/>
      <w:marBottom w:val="0"/>
      <w:divBdr>
        <w:top w:val="none" w:sz="0" w:space="0" w:color="auto"/>
        <w:left w:val="none" w:sz="0" w:space="0" w:color="auto"/>
        <w:bottom w:val="none" w:sz="0" w:space="0" w:color="auto"/>
        <w:right w:val="none" w:sz="0" w:space="0" w:color="auto"/>
      </w:divBdr>
    </w:div>
    <w:div w:id="1763646788">
      <w:bodyDiv w:val="1"/>
      <w:marLeft w:val="0"/>
      <w:marRight w:val="0"/>
      <w:marTop w:val="0"/>
      <w:marBottom w:val="0"/>
      <w:divBdr>
        <w:top w:val="none" w:sz="0" w:space="0" w:color="auto"/>
        <w:left w:val="none" w:sz="0" w:space="0" w:color="auto"/>
        <w:bottom w:val="none" w:sz="0" w:space="0" w:color="auto"/>
        <w:right w:val="none" w:sz="0" w:space="0" w:color="auto"/>
      </w:divBdr>
    </w:div>
    <w:div w:id="1840391391">
      <w:bodyDiv w:val="1"/>
      <w:marLeft w:val="0"/>
      <w:marRight w:val="0"/>
      <w:marTop w:val="0"/>
      <w:marBottom w:val="0"/>
      <w:divBdr>
        <w:top w:val="none" w:sz="0" w:space="0" w:color="auto"/>
        <w:left w:val="none" w:sz="0" w:space="0" w:color="auto"/>
        <w:bottom w:val="none" w:sz="0" w:space="0" w:color="auto"/>
        <w:right w:val="none" w:sz="0" w:space="0" w:color="auto"/>
      </w:divBdr>
    </w:div>
    <w:div w:id="200928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Parallax">
  <a:themeElements>
    <a:clrScheme name="Gobierno Federal 4T">
      <a:dk1>
        <a:sysClr val="windowText" lastClr="000000"/>
      </a:dk1>
      <a:lt1>
        <a:sysClr val="window" lastClr="FFFFFF"/>
      </a:lt1>
      <a:dk2>
        <a:srgbClr val="621132"/>
      </a:dk2>
      <a:lt2>
        <a:srgbClr val="D4C19C"/>
      </a:lt2>
      <a:accent1>
        <a:srgbClr val="285C4D"/>
      </a:accent1>
      <a:accent2>
        <a:srgbClr val="9D2449"/>
      </a:accent2>
      <a:accent3>
        <a:srgbClr val="13322B"/>
      </a:accent3>
      <a:accent4>
        <a:srgbClr val="4E232E"/>
      </a:accent4>
      <a:accent5>
        <a:srgbClr val="D4C19C"/>
      </a:accent5>
      <a:accent6>
        <a:srgbClr val="56242A"/>
      </a:accent6>
      <a:hlink>
        <a:srgbClr val="CC9900"/>
      </a:hlink>
      <a:folHlink>
        <a:srgbClr val="003300"/>
      </a:folHlink>
    </a:clrScheme>
    <a:fontScheme name="Parallax">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rallax">
      <a:fillStyleLst>
        <a:solidFill>
          <a:schemeClr val="phClr"/>
        </a:solidFill>
        <a:gradFill rotWithShape="1">
          <a:gsLst>
            <a:gs pos="0">
              <a:schemeClr val="phClr">
                <a:tint val="60000"/>
                <a:lumMod val="104000"/>
              </a:schemeClr>
            </a:gs>
            <a:gs pos="100000">
              <a:schemeClr val="phClr">
                <a:tint val="84000"/>
              </a:schemeClr>
            </a:gs>
          </a:gsLst>
          <a:lin ang="5400000" scaled="0"/>
        </a:gradFill>
        <a:gradFill rotWithShape="1">
          <a:gsLst>
            <a:gs pos="0">
              <a:schemeClr val="phClr">
                <a:tint val="96000"/>
                <a:lumMod val="102000"/>
              </a:schemeClr>
            </a:gs>
            <a:gs pos="100000">
              <a:schemeClr val="phClr">
                <a:shade val="88000"/>
                <a:lumMod val="94000"/>
              </a:schemeClr>
            </a:gs>
          </a:gsLst>
          <a:path path="circle">
            <a:fillToRect l="50000" t="100000" r="100000" b="50000"/>
          </a:path>
        </a:gradFill>
      </a:fillStyleLst>
      <a:lnStyleLst>
        <a:ln w="9525" cap="rnd" cmpd="sng" algn="ctr">
          <a:solidFill>
            <a:schemeClr val="phClr">
              <a:tint val="6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reflection blurRad="12700" stA="26000" endPos="32000" dist="12700" dir="5400000" sy="-100000" rotWithShape="0"/>
          </a:effectLst>
        </a:effectStyle>
        <a:effectStyle>
          <a:effectLst>
            <a:outerShdw blurRad="38100" dist="25400" dir="5400000" rotWithShape="0">
              <a:srgbClr val="000000">
                <a:alpha val="64000"/>
              </a:srgbClr>
            </a:outerShdw>
          </a:effectLst>
          <a:scene3d>
            <a:camera prst="orthographicFront">
              <a:rot lat="0" lon="0" rev="0"/>
            </a:camera>
            <a:lightRig rig="threePt" dir="tl">
              <a:rot lat="0" lon="0" rev="1200000"/>
            </a:lightRig>
          </a:scene3d>
          <a:sp3d>
            <a:bevelT w="25400" h="12700"/>
          </a:sp3d>
        </a:effectStyle>
      </a:effectStyleLst>
      <a:bgFillStyleLst>
        <a:solidFill>
          <a:schemeClr val="phClr"/>
        </a:solidFill>
        <a:gradFill rotWithShape="1">
          <a:gsLst>
            <a:gs pos="0">
              <a:schemeClr val="phClr">
                <a:tint val="90000"/>
                <a:lumMod val="110000"/>
              </a:schemeClr>
            </a:gs>
            <a:gs pos="100000">
              <a:schemeClr val="phClr">
                <a:shade val="64000"/>
                <a:lumMod val="98000"/>
              </a:schemeClr>
            </a:gs>
          </a:gsLst>
          <a:lin ang="5400000" scaled="0"/>
        </a:gradFill>
        <a:blipFill rotWithShape="1">
          <a:blip xmlns:r="http://schemas.openxmlformats.org/officeDocument/2006/relationships" r:embed="rId1">
            <a:duotone>
              <a:schemeClr val="phClr">
                <a:shade val="76000"/>
                <a:satMod val="180000"/>
              </a:schemeClr>
              <a:schemeClr val="phClr">
                <a:tint val="80000"/>
                <a:satMod val="120000"/>
                <a:lumMod val="180000"/>
              </a:schemeClr>
            </a:duotone>
          </a:blip>
          <a:stretch/>
        </a:blipFill>
      </a:bgFillStyleLst>
    </a:fmtScheme>
  </a:themeElements>
  <a:objectDefaults/>
  <a:extraClrSchemeLst/>
  <a:extLst>
    <a:ext uri="{05A4C25C-085E-4340-85A3-A5531E510DB2}">
      <thm15:themeFamily xmlns:thm15="http://schemas.microsoft.com/office/thememl/2012/main" name="Parallax" id="{3388167B-A2EB-4685-9635-1831D9AEF8C4}" vid="{4F7A876A-7598-49CA-AFC8-8EDA2551E4A7}"/>
    </a:ext>
  </a:extLst>
</a:theme>
</file>

<file path=docProps/app.xml><?xml version="1.0" encoding="utf-8"?>
<Properties xmlns="http://schemas.openxmlformats.org/officeDocument/2006/extended-properties" xmlns:vt="http://schemas.openxmlformats.org/officeDocument/2006/docPropsVTypes">
  <Template>Normal</Template>
  <TotalTime>62</TotalTime>
  <Pages>9</Pages>
  <Words>2705</Words>
  <Characters>14881</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Nayeli Ortiz Juárez</dc:creator>
  <cp:keywords/>
  <dc:description/>
  <cp:lastModifiedBy>Nayeli Ortiz Juárez</cp:lastModifiedBy>
  <cp:revision>11</cp:revision>
  <dcterms:created xsi:type="dcterms:W3CDTF">2018-08-27T22:17:00Z</dcterms:created>
  <dcterms:modified xsi:type="dcterms:W3CDTF">2019-06-24T16:15:00Z</dcterms:modified>
</cp:coreProperties>
</file>