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DC3" w:rsidRPr="00DB7F0A" w:rsidRDefault="00137DC3" w:rsidP="00137DC3">
      <w:pPr>
        <w:jc w:val="center"/>
        <w:rPr>
          <w:rFonts w:ascii="Montserrat" w:hAnsi="Montserrat"/>
        </w:rPr>
      </w:pPr>
    </w:p>
    <w:p w:rsidR="00137DC3" w:rsidRPr="00DB7F0A" w:rsidRDefault="00612718" w:rsidP="00137DC3">
      <w:pPr>
        <w:rPr>
          <w:rFonts w:ascii="Montserrat" w:hAnsi="Montserrat"/>
        </w:rPr>
      </w:pPr>
      <w:r w:rsidRPr="00DB7F0A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58FBAFB" wp14:editId="7604E1F7">
                <wp:simplePos x="0" y="0"/>
                <wp:positionH relativeFrom="margin">
                  <wp:align>center</wp:align>
                </wp:positionH>
                <wp:positionV relativeFrom="paragraph">
                  <wp:posOffset>867410</wp:posOffset>
                </wp:positionV>
                <wp:extent cx="5167630" cy="1404620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76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851" w:rsidRPr="00612718" w:rsidRDefault="00C80851" w:rsidP="00612718">
                            <w:pPr>
                              <w:jc w:val="center"/>
                              <w:rPr>
                                <w:rFonts w:ascii="Soberana Sans" w:hAnsi="Soberana Sans"/>
                                <w:b/>
                                <w:color w:val="13322B" w:themeColor="accent3"/>
                                <w:sz w:val="40"/>
                              </w:rPr>
                            </w:pPr>
                            <w:r w:rsidRPr="00612718">
                              <w:rPr>
                                <w:rFonts w:ascii="Soberana Sans" w:hAnsi="Soberana Sans"/>
                                <w:b/>
                                <w:color w:val="13322B" w:themeColor="accent3"/>
                                <w:sz w:val="40"/>
                              </w:rPr>
                              <w:t>Manual para la Integración del Clasificador de los Esquemas de financiamiento en la Matriz de Gasto 2018</w:t>
                            </w:r>
                          </w:p>
                          <w:p w:rsidR="00C80851" w:rsidRDefault="00C80851" w:rsidP="00612718">
                            <w:pPr>
                              <w:jc w:val="center"/>
                              <w:rPr>
                                <w:rFonts w:ascii="Soberana Sans" w:hAnsi="Soberana Sans"/>
                                <w:b/>
                                <w:color w:val="003300"/>
                                <w:sz w:val="40"/>
                              </w:rPr>
                            </w:pPr>
                          </w:p>
                          <w:p w:rsidR="00C80851" w:rsidRDefault="00C80851" w:rsidP="00612718">
                            <w:pPr>
                              <w:jc w:val="center"/>
                              <w:rPr>
                                <w:rFonts w:ascii="Soberana Sans" w:hAnsi="Soberana Sans"/>
                                <w:b/>
                                <w:color w:val="003300"/>
                                <w:sz w:val="40"/>
                              </w:rPr>
                            </w:pPr>
                          </w:p>
                          <w:p w:rsidR="00C80851" w:rsidRDefault="00C80851" w:rsidP="00612718">
                            <w:pPr>
                              <w:jc w:val="center"/>
                              <w:rPr>
                                <w:rFonts w:ascii="Soberana Sans" w:hAnsi="Soberana Sans"/>
                                <w:b/>
                                <w:color w:val="003300"/>
                                <w:sz w:val="40"/>
                              </w:rPr>
                            </w:pPr>
                          </w:p>
                          <w:p w:rsidR="00C80851" w:rsidRDefault="00C80851" w:rsidP="00612718">
                            <w:pPr>
                              <w:jc w:val="center"/>
                              <w:rPr>
                                <w:rFonts w:ascii="Soberana Sans" w:hAnsi="Soberana Sans"/>
                                <w:b/>
                                <w:color w:val="003300"/>
                                <w:sz w:val="40"/>
                              </w:rPr>
                            </w:pPr>
                          </w:p>
                          <w:p w:rsidR="00C80851" w:rsidRPr="00DB7F0A" w:rsidRDefault="00C80851" w:rsidP="00612718">
                            <w:pPr>
                              <w:jc w:val="center"/>
                              <w:rPr>
                                <w:rFonts w:ascii="Soberana Sans" w:hAnsi="Soberana Sans"/>
                                <w:b/>
                                <w:color w:val="9D2449" w:themeColor="accent2"/>
                                <w:sz w:val="40"/>
                              </w:rPr>
                            </w:pPr>
                            <w:r w:rsidRPr="00DB7F0A">
                              <w:rPr>
                                <w:rFonts w:ascii="Soberana Sans" w:hAnsi="Soberana Sans"/>
                                <w:b/>
                                <w:color w:val="9D2449" w:themeColor="accent2"/>
                                <w:sz w:val="40"/>
                              </w:rPr>
                              <w:t>Sistema de Cuentas en Salud a</w:t>
                            </w:r>
                          </w:p>
                          <w:p w:rsidR="00C80851" w:rsidRPr="00DB7F0A" w:rsidRDefault="00C80851" w:rsidP="00612718">
                            <w:pPr>
                              <w:jc w:val="center"/>
                              <w:rPr>
                                <w:rFonts w:ascii="Soberana Sans" w:hAnsi="Soberana Sans"/>
                                <w:b/>
                                <w:color w:val="9D2449" w:themeColor="accent2"/>
                                <w:sz w:val="40"/>
                              </w:rPr>
                            </w:pPr>
                            <w:r w:rsidRPr="00DB7F0A">
                              <w:rPr>
                                <w:rFonts w:ascii="Soberana Sans" w:hAnsi="Soberana Sans"/>
                                <w:b/>
                                <w:color w:val="9D2449" w:themeColor="accent2"/>
                                <w:sz w:val="40"/>
                              </w:rPr>
                              <w:t>Nivel Federal y Estatal</w:t>
                            </w:r>
                          </w:p>
                          <w:p w:rsidR="00C80851" w:rsidRPr="00DB7F0A" w:rsidRDefault="00C80851" w:rsidP="00612718">
                            <w:pPr>
                              <w:jc w:val="center"/>
                              <w:rPr>
                                <w:rFonts w:ascii="Soberana Sans" w:hAnsi="Soberana Sans"/>
                                <w:b/>
                                <w:color w:val="9D2449" w:themeColor="accent2"/>
                                <w:sz w:val="40"/>
                              </w:rPr>
                            </w:pPr>
                            <w:r w:rsidRPr="00DB7F0A">
                              <w:rPr>
                                <w:rFonts w:ascii="Soberana Sans" w:hAnsi="Soberana Sans"/>
                                <w:b/>
                                <w:color w:val="9D2449" w:themeColor="accent2"/>
                                <w:sz w:val="40"/>
                              </w:rPr>
                              <w:t>(SICUENTAS)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8FBAF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68.3pt;width:406.9pt;height:110.6pt;z-index:251667456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" stroked="f">
                <v:textbox style="mso-fit-shape-to-text:t">
                  <w:txbxContent>
                    <w:p w:rsidR="00C80851" w:rsidRPr="00612718" w:rsidRDefault="00C80851" w:rsidP="00612718">
                      <w:pPr>
                        <w:jc w:val="center"/>
                        <w:rPr>
                          <w:rFonts w:ascii="Soberana Sans" w:hAnsi="Soberana Sans"/>
                          <w:b/>
                          <w:color w:val="13322B" w:themeColor="accent3"/>
                          <w:sz w:val="40"/>
                        </w:rPr>
                      </w:pPr>
                      <w:r w:rsidRPr="00612718">
                        <w:rPr>
                          <w:rFonts w:ascii="Soberana Sans" w:hAnsi="Soberana Sans"/>
                          <w:b/>
                          <w:color w:val="13322B" w:themeColor="accent3"/>
                          <w:sz w:val="40"/>
                        </w:rPr>
                        <w:t>Manual para la Integración del Clasificador de los Esquemas de financiamiento en la Matriz de Gasto 2018</w:t>
                      </w:r>
                    </w:p>
                    <w:p w:rsidR="00C80851" w:rsidRDefault="00C80851" w:rsidP="00612718">
                      <w:pPr>
                        <w:jc w:val="center"/>
                        <w:rPr>
                          <w:rFonts w:ascii="Soberana Sans" w:hAnsi="Soberana Sans"/>
                          <w:b/>
                          <w:color w:val="003300"/>
                          <w:sz w:val="40"/>
                        </w:rPr>
                      </w:pPr>
                    </w:p>
                    <w:p w:rsidR="00C80851" w:rsidRDefault="00C80851" w:rsidP="00612718">
                      <w:pPr>
                        <w:jc w:val="center"/>
                        <w:rPr>
                          <w:rFonts w:ascii="Soberana Sans" w:hAnsi="Soberana Sans"/>
                          <w:b/>
                          <w:color w:val="003300"/>
                          <w:sz w:val="40"/>
                        </w:rPr>
                      </w:pPr>
                    </w:p>
                    <w:p w:rsidR="00C80851" w:rsidRDefault="00C80851" w:rsidP="00612718">
                      <w:pPr>
                        <w:jc w:val="center"/>
                        <w:rPr>
                          <w:rFonts w:ascii="Soberana Sans" w:hAnsi="Soberana Sans"/>
                          <w:b/>
                          <w:color w:val="003300"/>
                          <w:sz w:val="40"/>
                        </w:rPr>
                      </w:pPr>
                    </w:p>
                    <w:p w:rsidR="00C80851" w:rsidRDefault="00C80851" w:rsidP="00612718">
                      <w:pPr>
                        <w:jc w:val="center"/>
                        <w:rPr>
                          <w:rFonts w:ascii="Soberana Sans" w:hAnsi="Soberana Sans"/>
                          <w:b/>
                          <w:color w:val="003300"/>
                          <w:sz w:val="40"/>
                        </w:rPr>
                      </w:pPr>
                    </w:p>
                    <w:p w:rsidR="00C80851" w:rsidRPr="00DB7F0A" w:rsidRDefault="00C80851" w:rsidP="00612718">
                      <w:pPr>
                        <w:jc w:val="center"/>
                        <w:rPr>
                          <w:rFonts w:ascii="Soberana Sans" w:hAnsi="Soberana Sans"/>
                          <w:b/>
                          <w:color w:val="9D2449" w:themeColor="accent2"/>
                          <w:sz w:val="40"/>
                        </w:rPr>
                      </w:pPr>
                      <w:r w:rsidRPr="00DB7F0A">
                        <w:rPr>
                          <w:rFonts w:ascii="Soberana Sans" w:hAnsi="Soberana Sans"/>
                          <w:b/>
                          <w:color w:val="9D2449" w:themeColor="accent2"/>
                          <w:sz w:val="40"/>
                        </w:rPr>
                        <w:t>Sistema de Cuentas en Salud a</w:t>
                      </w:r>
                    </w:p>
                    <w:p w:rsidR="00C80851" w:rsidRPr="00DB7F0A" w:rsidRDefault="00C80851" w:rsidP="00612718">
                      <w:pPr>
                        <w:jc w:val="center"/>
                        <w:rPr>
                          <w:rFonts w:ascii="Soberana Sans" w:hAnsi="Soberana Sans"/>
                          <w:b/>
                          <w:color w:val="9D2449" w:themeColor="accent2"/>
                          <w:sz w:val="40"/>
                        </w:rPr>
                      </w:pPr>
                      <w:r w:rsidRPr="00DB7F0A">
                        <w:rPr>
                          <w:rFonts w:ascii="Soberana Sans" w:hAnsi="Soberana Sans"/>
                          <w:b/>
                          <w:color w:val="9D2449" w:themeColor="accent2"/>
                          <w:sz w:val="40"/>
                        </w:rPr>
                        <w:t>Nivel Federal y Estatal</w:t>
                      </w:r>
                    </w:p>
                    <w:p w:rsidR="00C80851" w:rsidRPr="00DB7F0A" w:rsidRDefault="00C80851" w:rsidP="00612718">
                      <w:pPr>
                        <w:jc w:val="center"/>
                        <w:rPr>
                          <w:rFonts w:ascii="Soberana Sans" w:hAnsi="Soberana Sans"/>
                          <w:b/>
                          <w:color w:val="9D2449" w:themeColor="accent2"/>
                          <w:sz w:val="40"/>
                        </w:rPr>
                      </w:pPr>
                      <w:r w:rsidRPr="00DB7F0A">
                        <w:rPr>
                          <w:rFonts w:ascii="Soberana Sans" w:hAnsi="Soberana Sans"/>
                          <w:b/>
                          <w:color w:val="9D2449" w:themeColor="accent2"/>
                          <w:sz w:val="40"/>
                        </w:rPr>
                        <w:t>(SICUENTAS)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B7F0A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900097" wp14:editId="7E736B8E">
                <wp:simplePos x="0" y="0"/>
                <wp:positionH relativeFrom="margin">
                  <wp:align>center</wp:align>
                </wp:positionH>
                <wp:positionV relativeFrom="paragraph">
                  <wp:posOffset>3256280</wp:posOffset>
                </wp:positionV>
                <wp:extent cx="4061460" cy="45085"/>
                <wp:effectExtent l="0" t="0" r="15240" b="12065"/>
                <wp:wrapNone/>
                <wp:docPr id="23" name="Rectá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4061460" cy="4508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2FC93A" id="Rectángulo 23" o:spid="_x0000_s1026" style="position:absolute;margin-left:0;margin-top:256.4pt;width:319.8pt;height:3.55pt;rotation:180;flip:y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" fillcolor="#b8985b [2408]" strokecolor="#b8985b [2408]" strokeweight="1pt">
                <w10:wrap anchorx="margin"/>
              </v:rect>
            </w:pict>
          </mc:Fallback>
        </mc:AlternateContent>
      </w:r>
      <w:r w:rsidR="00137DC3" w:rsidRPr="00DB7F0A">
        <w:rPr>
          <w:rFonts w:ascii="Montserrat" w:hAnsi="Montserrat"/>
        </w:rPr>
        <w:br w:type="page"/>
      </w:r>
    </w:p>
    <w:p w:rsidR="00FD1B09" w:rsidRPr="00DB7F0A" w:rsidRDefault="00FD1B09" w:rsidP="00DB7F0A">
      <w:pPr>
        <w:pStyle w:val="NayeliSalud"/>
        <w:numPr>
          <w:ilvl w:val="0"/>
          <w:numId w:val="2"/>
        </w:numPr>
        <w:jc w:val="both"/>
        <w:rPr>
          <w:rFonts w:ascii="Montserrat" w:hAnsi="Montserrat"/>
          <w:b/>
          <w:color w:val="13322B" w:themeColor="accent3"/>
          <w:sz w:val="24"/>
          <w:szCs w:val="24"/>
        </w:rPr>
      </w:pPr>
      <w:r w:rsidRPr="00DB7F0A">
        <w:rPr>
          <w:rFonts w:ascii="Montserrat" w:hAnsi="Montserrat"/>
          <w:b/>
          <w:color w:val="13322B" w:themeColor="accent3"/>
          <w:sz w:val="24"/>
          <w:szCs w:val="24"/>
        </w:rPr>
        <w:lastRenderedPageBreak/>
        <w:t>Clasificador SICUENTAS HF: Clasificación de los Esquemas de financiamiento</w:t>
      </w:r>
    </w:p>
    <w:p w:rsidR="00D126BD" w:rsidRPr="00DB7F0A" w:rsidRDefault="00673D49" w:rsidP="0099106B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Los esquemas de financiamiento son los “módulos básicos” de la estructura del sistema de financiamiento a la salud que posee un país. </w:t>
      </w:r>
      <w:r w:rsidR="00AD7C09" w:rsidRPr="00DB7F0A">
        <w:rPr>
          <w:rFonts w:ascii="Montserrat" w:hAnsi="Montserrat"/>
          <w:sz w:val="22"/>
        </w:rPr>
        <w:t xml:space="preserve">Son </w:t>
      </w:r>
      <w:r w:rsidR="00D126BD" w:rsidRPr="00DB7F0A">
        <w:rPr>
          <w:rFonts w:ascii="Montserrat" w:hAnsi="Montserrat"/>
          <w:sz w:val="22"/>
        </w:rPr>
        <w:t>las principales modalidades de financiamiento a través de las cuales</w:t>
      </w:r>
      <w:r w:rsidR="00AD7C09" w:rsidRPr="00DB7F0A">
        <w:rPr>
          <w:rFonts w:ascii="Montserrat" w:hAnsi="Montserrat"/>
          <w:sz w:val="22"/>
        </w:rPr>
        <w:t>,</w:t>
      </w:r>
      <w:r w:rsidR="00D126BD" w:rsidRPr="00DB7F0A">
        <w:rPr>
          <w:rFonts w:ascii="Montserrat" w:hAnsi="Montserrat"/>
          <w:sz w:val="22"/>
        </w:rPr>
        <w:t xml:space="preserve"> la población accede a los s</w:t>
      </w:r>
      <w:r w:rsidR="00142B43" w:rsidRPr="00DB7F0A">
        <w:rPr>
          <w:rFonts w:ascii="Montserrat" w:hAnsi="Montserrat"/>
          <w:sz w:val="22"/>
        </w:rPr>
        <w:t xml:space="preserve">ervicios de salud, pueden ser los esquemas gubernamentales, la seguridad social y el seguro voluntario. </w:t>
      </w:r>
      <w:r w:rsidR="00D126BD" w:rsidRPr="00DB7F0A">
        <w:rPr>
          <w:rFonts w:ascii="Montserrat" w:hAnsi="Montserrat"/>
          <w:sz w:val="22"/>
        </w:rPr>
        <w:t>Los esquemas de financiamiento de la sal</w:t>
      </w:r>
      <w:r w:rsidR="00AD7C09" w:rsidRPr="00DB7F0A">
        <w:rPr>
          <w:rFonts w:ascii="Montserrat" w:hAnsi="Montserrat"/>
          <w:sz w:val="22"/>
        </w:rPr>
        <w:t>u</w:t>
      </w:r>
      <w:r w:rsidR="00D126BD" w:rsidRPr="00DB7F0A">
        <w:rPr>
          <w:rFonts w:ascii="Montserrat" w:hAnsi="Montserrat"/>
          <w:sz w:val="22"/>
        </w:rPr>
        <w:t xml:space="preserve">d incluyen pagos directos a los hogares por los bienes y servicios y acuerdos de financiamiento en base a terceros. </w:t>
      </w:r>
    </w:p>
    <w:p w:rsidR="00142B43" w:rsidRPr="00DB7F0A" w:rsidRDefault="00142B43" w:rsidP="0099106B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>Los esquemas de financiamiento a la salud movilizan y asignan fondos dentro del sistema de salud, para satisfacer las necesidades de salud de la población</w:t>
      </w:r>
      <w:r w:rsidR="00CC5C5B" w:rsidRPr="00DB7F0A">
        <w:rPr>
          <w:rFonts w:ascii="Montserrat" w:hAnsi="Montserrat"/>
          <w:sz w:val="22"/>
        </w:rPr>
        <w:t>,</w:t>
      </w:r>
      <w:r w:rsidRPr="00DB7F0A">
        <w:rPr>
          <w:rFonts w:ascii="Montserrat" w:hAnsi="Montserrat"/>
          <w:sz w:val="22"/>
        </w:rPr>
        <w:t xml:space="preserve"> actuales y de futuro. Las personas pueden acceder a los servicios de atención realizando pagos directos por los bienes y servicios que consumen, o a través de acuerdos de financiamiento con terceros. </w:t>
      </w:r>
    </w:p>
    <w:p w:rsidR="00D126BD" w:rsidRPr="00DB7F0A" w:rsidRDefault="00D126BD" w:rsidP="0099106B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Los esquemas de financiamiento por terceros se definen </w:t>
      </w:r>
      <w:r w:rsidR="00AD7C09" w:rsidRPr="00DB7F0A">
        <w:rPr>
          <w:rFonts w:ascii="Montserrat" w:hAnsi="Montserrat"/>
          <w:sz w:val="22"/>
        </w:rPr>
        <w:t>como</w:t>
      </w:r>
      <w:r w:rsidRPr="00DB7F0A">
        <w:rPr>
          <w:rFonts w:ascii="Montserrat" w:hAnsi="Montserrat"/>
          <w:sz w:val="22"/>
        </w:rPr>
        <w:t xml:space="preserve"> un conjunto de normas que regulan el modo de participación, el derecho a los servicios de salud y la forma de obtener y en que se recaudan los fondos y cómo se mancomunan los recursos. </w:t>
      </w:r>
    </w:p>
    <w:p w:rsidR="008356E5" w:rsidRPr="00DB7F0A" w:rsidRDefault="008356E5" w:rsidP="0099106B">
      <w:pPr>
        <w:pStyle w:val="NayeliSalud"/>
        <w:jc w:val="both"/>
        <w:rPr>
          <w:rFonts w:ascii="Montserrat" w:hAnsi="Montserrat"/>
          <w:sz w:val="22"/>
        </w:rPr>
      </w:pPr>
    </w:p>
    <w:p w:rsidR="008356E5" w:rsidRPr="00DB7F0A" w:rsidRDefault="008356E5" w:rsidP="0099106B">
      <w:pPr>
        <w:pStyle w:val="NayeliSalud"/>
        <w:jc w:val="both"/>
        <w:rPr>
          <w:rFonts w:ascii="Montserrat" w:hAnsi="Montserrat"/>
          <w:b/>
          <w:color w:val="13322B" w:themeColor="accent3"/>
          <w:sz w:val="24"/>
          <w:szCs w:val="24"/>
        </w:rPr>
      </w:pPr>
      <w:r w:rsidRPr="00DB7F0A">
        <w:rPr>
          <w:rFonts w:ascii="Montserrat" w:hAnsi="Montserrat"/>
          <w:b/>
          <w:color w:val="13322B" w:themeColor="accent3"/>
          <w:sz w:val="24"/>
          <w:szCs w:val="24"/>
        </w:rPr>
        <w:t>Estructura del Clasificador HF, Esquemas de financiamiento</w:t>
      </w:r>
    </w:p>
    <w:p w:rsidR="008356E5" w:rsidRPr="00DB7F0A" w:rsidRDefault="008356E5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A </w:t>
      </w:r>
      <w:r w:rsidR="00DB7F0A" w:rsidRPr="00DB7F0A">
        <w:rPr>
          <w:rFonts w:ascii="Montserrat" w:hAnsi="Montserrat"/>
          <w:sz w:val="22"/>
        </w:rPr>
        <w:t>continuación,</w:t>
      </w:r>
      <w:r w:rsidRPr="00DB7F0A">
        <w:rPr>
          <w:rFonts w:ascii="Montserrat" w:hAnsi="Montserrat"/>
          <w:sz w:val="22"/>
        </w:rPr>
        <w:t xml:space="preserve"> se presenta la estructura del Clasificador de los Esquemas de Financiamiento (HF), debidamente empatado con las recomendaciones de OCDE. Este será el formulario que se podrá obs</w:t>
      </w:r>
      <w:r w:rsidR="008E6FCD" w:rsidRPr="00DB7F0A">
        <w:rPr>
          <w:rFonts w:ascii="Montserrat" w:hAnsi="Montserrat"/>
          <w:sz w:val="22"/>
        </w:rPr>
        <w:t>ervar en la plataforma de SIMBA, además se incluye la descripción de las categorías generales de los esquemas de financiamiento.</w:t>
      </w:r>
    </w:p>
    <w:p w:rsidR="0035280F" w:rsidRPr="00DB7F0A" w:rsidRDefault="0035280F" w:rsidP="008356E5">
      <w:pPr>
        <w:pStyle w:val="NayeliSalud"/>
        <w:jc w:val="both"/>
        <w:rPr>
          <w:rFonts w:ascii="Montserrat" w:hAnsi="Montserrat"/>
          <w:b/>
          <w:color w:val="B8985B" w:themeColor="accent5" w:themeShade="BF"/>
          <w:sz w:val="22"/>
        </w:rPr>
      </w:pPr>
    </w:p>
    <w:p w:rsidR="008356E5" w:rsidRPr="00DB7F0A" w:rsidRDefault="008356E5" w:rsidP="00DB7F0A">
      <w:pPr>
        <w:pStyle w:val="NayeliSalud"/>
        <w:jc w:val="center"/>
        <w:rPr>
          <w:rFonts w:ascii="Montserrat" w:hAnsi="Montserrat"/>
          <w:b/>
          <w:color w:val="B8985B" w:themeColor="accent5" w:themeShade="BF"/>
          <w:sz w:val="22"/>
        </w:rPr>
      </w:pPr>
      <w:r w:rsidRPr="00DB7F0A">
        <w:rPr>
          <w:rFonts w:ascii="Montserrat" w:hAnsi="Montserrat"/>
          <w:b/>
          <w:color w:val="B8985B" w:themeColor="accent5" w:themeShade="BF"/>
          <w:sz w:val="22"/>
        </w:rPr>
        <w:t>Cuadro 1: Clasificación de los Esquemas de Financiamiento (ICHA-HF)</w:t>
      </w:r>
    </w:p>
    <w:tbl>
      <w:tblPr>
        <w:tblW w:w="91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886"/>
        <w:gridCol w:w="5728"/>
      </w:tblGrid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285C4D" w:themeFill="accent1"/>
            <w:noWrap/>
            <w:vAlign w:val="bottom"/>
            <w:hideMark/>
          </w:tcPr>
          <w:p w:rsidR="00195E2B" w:rsidRPr="00DB7F0A" w:rsidRDefault="00DB7F0A" w:rsidP="00195E2B">
            <w:pPr>
              <w:spacing w:after="0" w:line="240" w:lineRule="auto"/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  <w:t>CveE_D1</w:t>
            </w:r>
          </w:p>
        </w:tc>
        <w:tc>
          <w:tcPr>
            <w:tcW w:w="85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285C4D" w:themeFill="accent1"/>
            <w:noWrap/>
            <w:vAlign w:val="bottom"/>
            <w:hideMark/>
          </w:tcPr>
          <w:p w:rsidR="00195E2B" w:rsidRPr="00DB7F0A" w:rsidRDefault="00DB7F0A" w:rsidP="00195E2B">
            <w:pPr>
              <w:spacing w:after="0" w:line="240" w:lineRule="auto"/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  <w:t>CveE_D2</w:t>
            </w:r>
          </w:p>
        </w:tc>
        <w:tc>
          <w:tcPr>
            <w:tcW w:w="85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285C4D" w:themeFill="accent1"/>
            <w:noWrap/>
            <w:vAlign w:val="bottom"/>
            <w:hideMark/>
          </w:tcPr>
          <w:p w:rsidR="00195E2B" w:rsidRPr="00DB7F0A" w:rsidRDefault="00DB7F0A" w:rsidP="00195E2B">
            <w:pPr>
              <w:spacing w:after="0" w:line="240" w:lineRule="auto"/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  <w:t>CveE_D3</w:t>
            </w:r>
          </w:p>
        </w:tc>
        <w:tc>
          <w:tcPr>
            <w:tcW w:w="85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285C4D" w:themeFill="accent1"/>
            <w:noWrap/>
            <w:vAlign w:val="bottom"/>
            <w:hideMark/>
          </w:tcPr>
          <w:p w:rsidR="00195E2B" w:rsidRPr="00DB7F0A" w:rsidRDefault="00DB7F0A" w:rsidP="00195E2B">
            <w:pPr>
              <w:spacing w:after="0" w:line="240" w:lineRule="auto"/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  <w:t>CveE_D4</w:t>
            </w:r>
          </w:p>
        </w:tc>
        <w:tc>
          <w:tcPr>
            <w:tcW w:w="572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285C4D" w:themeFill="accent1"/>
            <w:noWrap/>
            <w:vAlign w:val="bottom"/>
            <w:hideMark/>
          </w:tcPr>
          <w:p w:rsidR="00195E2B" w:rsidRPr="00DB7F0A" w:rsidRDefault="00195E2B" w:rsidP="00195E2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  <w:t>Denominación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Gasto Total de los Esquemas</w:t>
            </w:r>
          </w:p>
        </w:tc>
      </w:tr>
      <w:tr w:rsidR="00195E2B" w:rsidRPr="00DB7F0A" w:rsidTr="00DB7F0A">
        <w:trPr>
          <w:trHeight w:val="425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gubernamentales y esquemas de financiamiento de servicios de salud contributivos y obligatorios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 xml:space="preserve">HF.1.1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gubernamentales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 xml:space="preserve">HF.1.1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del gobierno central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 xml:space="preserve">HF.1.1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del gobierno regional y local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de seguros obligatorios contributivos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seguros sociales de salud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seguros privados obligatorios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Cuentas de ahorros médicas obligatorias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de pago voluntarios de servicios de salud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de seguros voluntarios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HF.2.1.1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seguros primarios/sustitutivos</w:t>
            </w:r>
          </w:p>
        </w:tc>
      </w:tr>
      <w:tr w:rsidR="00195E2B" w:rsidRPr="00DB7F0A" w:rsidTr="00DB7F0A">
        <w:trPr>
          <w:trHeight w:val="192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HF.2.1.1.1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Seguros de los empleadores (que no sean esquemas de empresas)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HF.2.1.1.2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Seguros voluntarios públicos gubernamentales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HF.2.1.1.3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Otros esquemas de cobertura primaria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HF.2.1.2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seguros complementarios o suplementarios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HF.2.1.2.1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Seguro basado en la comunidad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HF.2.1.2.2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Otros seguros complementarios/suplementarios</w:t>
            </w:r>
          </w:p>
        </w:tc>
      </w:tr>
      <w:tr w:rsidR="00195E2B" w:rsidRPr="00DB7F0A" w:rsidTr="00DB7F0A">
        <w:trPr>
          <w:trHeight w:val="212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lastRenderedPageBreak/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de financiamiento de las instituciones sin fines de lucro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financiamiento ISFLSH (excluyendo HF.2.2.2)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agencias extranjeras residentes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de financiamiento de empresas</w:t>
            </w:r>
          </w:p>
        </w:tc>
      </w:tr>
      <w:tr w:rsidR="00195E2B" w:rsidRPr="00DB7F0A" w:rsidTr="00DB7F0A">
        <w:trPr>
          <w:trHeight w:val="36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financiamiento de empresas (excepto los proveedores de servicios de salud)</w:t>
            </w:r>
          </w:p>
        </w:tc>
      </w:tr>
      <w:tr w:rsidR="00195E2B" w:rsidRPr="00DB7F0A" w:rsidTr="00DB7F0A">
        <w:trPr>
          <w:trHeight w:val="254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financiamiento de los proveedores de servicios de salud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Gasto directo de los hogares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Gastos directos excluidos los pagos compartidos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Costos compartidos con terceros</w:t>
            </w:r>
          </w:p>
        </w:tc>
      </w:tr>
      <w:tr w:rsidR="00195E2B" w:rsidRPr="00DB7F0A" w:rsidTr="00DB7F0A">
        <w:trPr>
          <w:trHeight w:val="36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HF.3.2.1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Costos compartidos con los esquemas gubernamentales y esquemas de seguros obligatorios contributivos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HF.3.2.2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Costos compartidos con esquemas de seguros voluntarios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de financiamiento del resto del mundo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obligatorios (no residentes)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seguros obligatorios (no residentes)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Otros esquemas obligatorios (no residentes)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voluntarios (no residentes)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HF.4.2.1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seguros voluntarios (no residentes)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HF.4.2.2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Otros esquemas (no residentes)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HF.4.2.2.1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ONG filantrópicas/internacionales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HF.4.2.2.2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agencias de desarrollo extranjeras</w:t>
            </w:r>
          </w:p>
        </w:tc>
      </w:tr>
      <w:tr w:rsidR="00195E2B" w:rsidRPr="00DB7F0A" w:rsidTr="00DB7F0A">
        <w:trPr>
          <w:trHeight w:val="208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HF.4.2.2.3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enclaves (p.ej. organizaciones internacionales o embajadas)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de financiamiento desconocido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9125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Partidas de Notificación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9125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Agentes de financiamiento que gestionan los esquemas de financiamiento</w:t>
            </w:r>
          </w:p>
        </w:tc>
      </w:tr>
      <w:tr w:rsidR="00195E2B" w:rsidRPr="00DB7F0A" w:rsidTr="00DB7F0A">
        <w:trPr>
          <w:trHeight w:val="411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HF.RI.1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Unidades institucionales que administran los esquemas de financiamiento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Gobierno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Empresas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Hogares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ISFLSH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Resto del mundo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9125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financiamiento y costos compartidos</w:t>
            </w:r>
          </w:p>
        </w:tc>
      </w:tr>
      <w:tr w:rsidR="00195E2B" w:rsidRPr="00DB7F0A" w:rsidTr="00DB7F0A">
        <w:trPr>
          <w:trHeight w:val="423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HF.RI.2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gubernamentales y esquemas de contributivos obligatorios con pagos compartidos (HF.1 + HF.3.2.1)</w:t>
            </w:r>
          </w:p>
        </w:tc>
      </w:tr>
      <w:tr w:rsidR="00195E2B" w:rsidRPr="00DB7F0A" w:rsidTr="00DB7F0A">
        <w:trPr>
          <w:trHeight w:val="411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HF.RI.3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Seguros de salud voluntarios juntos con costos compartidos (HF.2+HF.3.2</w:t>
            </w:r>
          </w:p>
        </w:tc>
      </w:tr>
    </w:tbl>
    <w:p w:rsidR="00195E2B" w:rsidRPr="00DB7F0A" w:rsidRDefault="00195E2B" w:rsidP="008356E5">
      <w:pPr>
        <w:pStyle w:val="NayeliSalud"/>
        <w:jc w:val="both"/>
        <w:rPr>
          <w:rFonts w:ascii="Montserrat" w:hAnsi="Montserrat"/>
          <w:b/>
          <w:sz w:val="22"/>
        </w:rPr>
      </w:pPr>
    </w:p>
    <w:p w:rsidR="00A95B5E" w:rsidRPr="00DB7F0A" w:rsidRDefault="00460E27" w:rsidP="008356E5">
      <w:pPr>
        <w:pStyle w:val="NayeliSalud"/>
        <w:jc w:val="both"/>
        <w:rPr>
          <w:rFonts w:ascii="Montserrat" w:hAnsi="Montserrat"/>
          <w:color w:val="9D2449" w:themeColor="accent2"/>
          <w:sz w:val="24"/>
          <w:szCs w:val="24"/>
        </w:rPr>
      </w:pPr>
      <w:r w:rsidRPr="00DB7F0A">
        <w:rPr>
          <w:rFonts w:ascii="Montserrat" w:hAnsi="Montserrat"/>
          <w:color w:val="9D2449" w:themeColor="accent2"/>
          <w:sz w:val="24"/>
          <w:szCs w:val="24"/>
        </w:rPr>
        <w:t>HF.1 Esquemas gubernamentales y esquemas de financiamiento de servicios de salud contributivos y obligatorios.</w:t>
      </w:r>
    </w:p>
    <w:p w:rsidR="00460E27" w:rsidRPr="00DB7F0A" w:rsidRDefault="00460E27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>En esta categoría se incluyen todos los esquemas que garantizan el acceso a las atenciones básicas de salud de toda la sociedad en su conjunto o de algunos grupos vulnerables de la población.</w:t>
      </w:r>
    </w:p>
    <w:p w:rsidR="00DB7F0A" w:rsidRDefault="00DB7F0A" w:rsidP="008356E5">
      <w:pPr>
        <w:pStyle w:val="NayeliSalud"/>
        <w:jc w:val="both"/>
        <w:rPr>
          <w:rFonts w:ascii="Montserrat" w:hAnsi="Montserrat"/>
          <w:sz w:val="24"/>
          <w:szCs w:val="24"/>
        </w:rPr>
      </w:pPr>
    </w:p>
    <w:p w:rsidR="00460E27" w:rsidRPr="00DB7F0A" w:rsidRDefault="00460E27" w:rsidP="008356E5">
      <w:pPr>
        <w:pStyle w:val="NayeliSalud"/>
        <w:jc w:val="both"/>
        <w:rPr>
          <w:rFonts w:ascii="Montserrat" w:hAnsi="Montserrat"/>
          <w:color w:val="9D2449" w:themeColor="accent2"/>
          <w:sz w:val="24"/>
          <w:szCs w:val="24"/>
        </w:rPr>
      </w:pPr>
      <w:r w:rsidRPr="00DB7F0A">
        <w:rPr>
          <w:rFonts w:ascii="Montserrat" w:hAnsi="Montserrat"/>
          <w:color w:val="9D2449" w:themeColor="accent2"/>
          <w:sz w:val="24"/>
          <w:szCs w:val="24"/>
        </w:rPr>
        <w:t>HF.2 Esquemas de pago voluntario de servicios de salud</w:t>
      </w:r>
    </w:p>
    <w:p w:rsidR="00460E27" w:rsidRPr="00DB7F0A" w:rsidRDefault="00460E27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Incluye todos los esquemas de financiamiento de la salud nacionales mediante pre-pago en los que el acceso a los servicios de salud está a discreción de organismos privados. Incluye </w:t>
      </w:r>
      <w:r w:rsidRPr="00DB7F0A">
        <w:rPr>
          <w:rFonts w:ascii="Montserrat" w:hAnsi="Montserrat"/>
          <w:sz w:val="22"/>
        </w:rPr>
        <w:lastRenderedPageBreak/>
        <w:t>seguros de salud voluntarios, esquemas de financiamiento de IFLSH esquemas de financiamiento de empresas.</w:t>
      </w:r>
    </w:p>
    <w:p w:rsidR="00460E27" w:rsidRPr="00DB7F0A" w:rsidRDefault="00460E27" w:rsidP="008356E5">
      <w:pPr>
        <w:pStyle w:val="NayeliSalud"/>
        <w:jc w:val="both"/>
        <w:rPr>
          <w:rFonts w:ascii="Montserrat" w:hAnsi="Montserrat"/>
          <w:sz w:val="22"/>
        </w:rPr>
      </w:pPr>
    </w:p>
    <w:p w:rsidR="00460E27" w:rsidRPr="00C80851" w:rsidRDefault="00460E27" w:rsidP="008356E5">
      <w:pPr>
        <w:pStyle w:val="NayeliSalud"/>
        <w:jc w:val="both"/>
        <w:rPr>
          <w:rFonts w:ascii="Montserrat" w:hAnsi="Montserrat"/>
          <w:color w:val="9D2449" w:themeColor="accent2"/>
          <w:sz w:val="24"/>
          <w:szCs w:val="24"/>
        </w:rPr>
      </w:pPr>
      <w:r w:rsidRPr="00C80851">
        <w:rPr>
          <w:rFonts w:ascii="Montserrat" w:hAnsi="Montserrat"/>
          <w:color w:val="9D2449" w:themeColor="accent2"/>
          <w:sz w:val="24"/>
          <w:szCs w:val="24"/>
        </w:rPr>
        <w:t>HF.3 Gasto directo de los hogares</w:t>
      </w:r>
    </w:p>
    <w:p w:rsidR="00460E27" w:rsidRPr="00DB7F0A" w:rsidRDefault="00460E27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La característica que lo distingue es que es un pago directo, por los servicios que recibe, del ingreso principal del hogar o de los ahorros. El pago lo efectúa el usuario en el momento de utilizar los servicios. Tienen un modo de participación voluntaria. El derecho a la prestación es </w:t>
      </w:r>
      <w:r w:rsidR="00DB7F0A" w:rsidRPr="00DB7F0A">
        <w:rPr>
          <w:rFonts w:ascii="Montserrat" w:hAnsi="Montserrat"/>
          <w:sz w:val="22"/>
        </w:rPr>
        <w:t>contributivo</w:t>
      </w:r>
      <w:r w:rsidRPr="00DB7F0A">
        <w:rPr>
          <w:rFonts w:ascii="Montserrat" w:hAnsi="Montserrat"/>
          <w:sz w:val="22"/>
        </w:rPr>
        <w:t>, el método de recaudación de fondos es voluntaria y no hay mancomunación interpersonal.</w:t>
      </w:r>
    </w:p>
    <w:p w:rsidR="00EC3B34" w:rsidRPr="00DB7F0A" w:rsidRDefault="00EC3B34" w:rsidP="008356E5">
      <w:pPr>
        <w:pStyle w:val="NayeliSalud"/>
        <w:jc w:val="both"/>
        <w:rPr>
          <w:rFonts w:ascii="Montserrat" w:hAnsi="Montserrat"/>
          <w:sz w:val="22"/>
        </w:rPr>
      </w:pPr>
    </w:p>
    <w:p w:rsidR="00460E27" w:rsidRPr="00C80851" w:rsidRDefault="00460E27" w:rsidP="008356E5">
      <w:pPr>
        <w:pStyle w:val="NayeliSalud"/>
        <w:jc w:val="both"/>
        <w:rPr>
          <w:rFonts w:ascii="Montserrat" w:hAnsi="Montserrat"/>
          <w:color w:val="9D2449" w:themeColor="accent2"/>
          <w:sz w:val="24"/>
          <w:szCs w:val="24"/>
        </w:rPr>
      </w:pPr>
      <w:r w:rsidRPr="00C80851">
        <w:rPr>
          <w:rFonts w:ascii="Montserrat" w:hAnsi="Montserrat"/>
          <w:color w:val="9D2449" w:themeColor="accent2"/>
          <w:sz w:val="24"/>
          <w:szCs w:val="24"/>
        </w:rPr>
        <w:t>HF.4 Esquemas de financiamiento del resto del mundo</w:t>
      </w:r>
    </w:p>
    <w:p w:rsidR="008E6FCD" w:rsidRPr="00DB7F0A" w:rsidRDefault="00EC3B34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>Comprende los modelos de financiamiento de las unidades institucionales que residen en el extranjero, pero que recaudan, mancomunan recursos y compran bienes y servicios de salud para los residentes, sin transferir sus fondos a través de un esquema radicado en el país.</w:t>
      </w:r>
    </w:p>
    <w:p w:rsidR="004B61B8" w:rsidRPr="00DB7F0A" w:rsidRDefault="004B61B8" w:rsidP="008356E5">
      <w:pPr>
        <w:pStyle w:val="NayeliSalud"/>
        <w:jc w:val="both"/>
        <w:rPr>
          <w:rFonts w:ascii="Montserrat" w:hAnsi="Montserrat"/>
          <w:sz w:val="22"/>
        </w:rPr>
      </w:pPr>
    </w:p>
    <w:p w:rsidR="00460E27" w:rsidRPr="00C80851" w:rsidRDefault="00460E27" w:rsidP="008356E5">
      <w:pPr>
        <w:pStyle w:val="NayeliSalud"/>
        <w:jc w:val="both"/>
        <w:rPr>
          <w:rFonts w:ascii="Montserrat" w:hAnsi="Montserrat"/>
          <w:color w:val="9D2449" w:themeColor="accent2"/>
          <w:sz w:val="24"/>
          <w:szCs w:val="24"/>
        </w:rPr>
      </w:pPr>
      <w:r w:rsidRPr="00C80851">
        <w:rPr>
          <w:rFonts w:ascii="Montserrat" w:hAnsi="Montserrat"/>
          <w:color w:val="9D2449" w:themeColor="accent2"/>
          <w:sz w:val="24"/>
          <w:szCs w:val="24"/>
        </w:rPr>
        <w:t>HF.0 Esquemas de financiamiento desconocido</w:t>
      </w:r>
    </w:p>
    <w:p w:rsidR="008E6FCD" w:rsidRPr="00DB7F0A" w:rsidRDefault="008E6FCD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>En esta categoría se incluyen todos los esquemas de financiamiento no clasificados en alguna de las categorías anteriores.</w:t>
      </w:r>
    </w:p>
    <w:p w:rsidR="00BB7697" w:rsidRPr="00DB7F0A" w:rsidRDefault="00BB7697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>Los agentes de financiamiento son unidades institucionales que administran uno o más esquemas de financiamiento, recaudando fondos y comprando servicios en cumplimiento de las normas d</w:t>
      </w:r>
      <w:r w:rsidR="007B0EF4" w:rsidRPr="00DB7F0A">
        <w:rPr>
          <w:rFonts w:ascii="Montserrat" w:hAnsi="Montserrat"/>
          <w:sz w:val="22"/>
        </w:rPr>
        <w:t>e</w:t>
      </w:r>
      <w:r w:rsidRPr="00DB7F0A">
        <w:rPr>
          <w:rFonts w:ascii="Montserrat" w:hAnsi="Montserrat"/>
          <w:sz w:val="22"/>
        </w:rPr>
        <w:t xml:space="preserve">l esquema de financiamiento de la salud determinado. Incluye a los hogares como atentes de financiamiento de los pagos directos. </w:t>
      </w:r>
    </w:p>
    <w:p w:rsidR="004B61B8" w:rsidRDefault="007B0EF4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Para poder diferenciar cada una de las categorías del Clasificador HF, es importante conocer las características de estas modalidades de financiamiento. Existen cuatro conceptos básicos que hay que entender a que se </w:t>
      </w:r>
      <w:r w:rsidR="00581295" w:rsidRPr="00DB7F0A">
        <w:rPr>
          <w:rFonts w:ascii="Montserrat" w:hAnsi="Montserrat"/>
          <w:sz w:val="22"/>
        </w:rPr>
        <w:t xml:space="preserve">refieren y así poder asignar </w:t>
      </w:r>
      <w:r w:rsidRPr="00DB7F0A">
        <w:rPr>
          <w:rFonts w:ascii="Montserrat" w:hAnsi="Montserrat"/>
          <w:sz w:val="22"/>
        </w:rPr>
        <w:t>alguna clave HP.</w:t>
      </w:r>
    </w:p>
    <w:p w:rsidR="00C80851" w:rsidRDefault="00C80851" w:rsidP="008356E5">
      <w:pPr>
        <w:pStyle w:val="NayeliSalud"/>
        <w:jc w:val="both"/>
        <w:rPr>
          <w:rFonts w:ascii="Montserrat" w:hAnsi="Montserrat"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sz w:val="22"/>
        </w:rPr>
      </w:pPr>
    </w:p>
    <w:p w:rsidR="00C80851" w:rsidRPr="00DB7F0A" w:rsidRDefault="00C80851" w:rsidP="008356E5">
      <w:pPr>
        <w:pStyle w:val="NayeliSalud"/>
        <w:jc w:val="both"/>
        <w:rPr>
          <w:rFonts w:ascii="Montserrat" w:hAnsi="Montserrat"/>
          <w:sz w:val="22"/>
        </w:rPr>
      </w:pPr>
    </w:p>
    <w:p w:rsidR="005A022E" w:rsidRPr="00DB7F0A" w:rsidRDefault="005A022E" w:rsidP="00DB7F0A">
      <w:pPr>
        <w:pStyle w:val="NayeliSalud"/>
        <w:jc w:val="center"/>
        <w:rPr>
          <w:rFonts w:ascii="Montserrat" w:hAnsi="Montserrat"/>
          <w:b/>
          <w:color w:val="B8985B" w:themeColor="accent5" w:themeShade="BF"/>
          <w:sz w:val="22"/>
        </w:rPr>
      </w:pPr>
      <w:r w:rsidRPr="00DB7F0A">
        <w:rPr>
          <w:rFonts w:ascii="Montserrat" w:hAnsi="Montserrat"/>
          <w:b/>
          <w:color w:val="B8985B" w:themeColor="accent5" w:themeShade="BF"/>
          <w:sz w:val="22"/>
        </w:rPr>
        <w:lastRenderedPageBreak/>
        <w:t>Cuadro 2: Características de las modalidades de financiamiento</w:t>
      </w:r>
    </w:p>
    <w:tbl>
      <w:tblPr>
        <w:tblW w:w="887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3771"/>
      </w:tblGrid>
      <w:tr w:rsidR="00FE3852" w:rsidRPr="00DB7F0A" w:rsidTr="00DB7F0A">
        <w:trPr>
          <w:trHeight w:val="280"/>
          <w:jc w:val="center"/>
        </w:trPr>
        <w:tc>
          <w:tcPr>
            <w:tcW w:w="24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4" w:space="0" w:color="808080"/>
            </w:tcBorders>
            <w:shd w:val="clear" w:color="auto" w:fill="285C4D" w:themeFill="accent1"/>
            <w:noWrap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Cs/>
                <w:color w:val="FFFFFF" w:themeColor="background1"/>
                <w:sz w:val="18"/>
                <w:szCs w:val="18"/>
                <w:lang w:eastAsia="es-MX"/>
              </w:rPr>
              <w:t>Característica</w:t>
            </w:r>
          </w:p>
        </w:tc>
        <w:tc>
          <w:tcPr>
            <w:tcW w:w="2693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285C4D" w:themeFill="accent1"/>
            <w:noWrap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Cs/>
                <w:color w:val="FFFFFF" w:themeColor="background1"/>
                <w:sz w:val="18"/>
                <w:szCs w:val="18"/>
                <w:lang w:eastAsia="es-MX"/>
              </w:rPr>
              <w:t>Descripción</w:t>
            </w:r>
          </w:p>
        </w:tc>
        <w:tc>
          <w:tcPr>
            <w:tcW w:w="3771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285C4D" w:themeFill="accent1"/>
            <w:noWrap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Cs/>
                <w:color w:val="FFFFFF" w:themeColor="background1"/>
                <w:sz w:val="18"/>
                <w:szCs w:val="18"/>
                <w:lang w:eastAsia="es-MX"/>
              </w:rPr>
              <w:t>Categoría que incluye</w:t>
            </w:r>
          </w:p>
        </w:tc>
      </w:tr>
      <w:tr w:rsidR="00FE3852" w:rsidRPr="00DB7F0A" w:rsidTr="00DB7F0A">
        <w:trPr>
          <w:trHeight w:val="1190"/>
          <w:jc w:val="center"/>
        </w:trPr>
        <w:tc>
          <w:tcPr>
            <w:tcW w:w="2410" w:type="dxa"/>
            <w:vMerge w:val="restart"/>
            <w:tcBorders>
              <w:top w:val="nil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Modo de participación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Es la relación entre las personas y los diferentes esquemas de financiamiento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>Obligatoria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: La cobertura de la población es automática, universal para todos los ciudadanos y residentes. El pago de cotizaciones es obligatoria para toda la población  o grupos definidos de ésta.</w:t>
            </w:r>
          </w:p>
        </w:tc>
      </w:tr>
      <w:tr w:rsidR="00FE3852" w:rsidRPr="00DB7F0A" w:rsidTr="00DB7F0A">
        <w:trPr>
          <w:trHeight w:val="476"/>
          <w:jc w:val="center"/>
        </w:trPr>
        <w:tc>
          <w:tcPr>
            <w:tcW w:w="2410" w:type="dxa"/>
            <w:vMerge/>
            <w:tcBorders>
              <w:top w:val="nil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 xml:space="preserve">Voluntaria: 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Cubre a determinadas personas, grupos o empresas de forma discrecional.</w:t>
            </w:r>
          </w:p>
        </w:tc>
      </w:tr>
      <w:tr w:rsidR="00FE3852" w:rsidRPr="00DB7F0A" w:rsidTr="00DB7F0A">
        <w:trPr>
          <w:trHeight w:val="714"/>
          <w:jc w:val="center"/>
        </w:trPr>
        <w:tc>
          <w:tcPr>
            <w:tcW w:w="2410" w:type="dxa"/>
            <w:vMerge w:val="restart"/>
            <w:tcBorders>
              <w:top w:val="nil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Base para el derecho a la prestación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La forma en que una persona adquiere el derecho a los servicios de salud. Son las condiciones generales que dan acceso a la atenciones en los diferentes esquemas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>No contributiva: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 xml:space="preserve"> Definida por la ley, no tiene vinculación al pago de alguna contribución específica.</w:t>
            </w:r>
          </w:p>
        </w:tc>
      </w:tr>
      <w:tr w:rsidR="00FE3852" w:rsidRPr="00DB7F0A" w:rsidTr="00DB7F0A">
        <w:trPr>
          <w:trHeight w:val="476"/>
          <w:jc w:val="center"/>
        </w:trPr>
        <w:tc>
          <w:tcPr>
            <w:tcW w:w="2410" w:type="dxa"/>
            <w:vMerge/>
            <w:tcBorders>
              <w:top w:val="nil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>Contributiva: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 xml:space="preserve"> Definida por la ley, requiere el pago de cotizaciones de la persona.</w:t>
            </w:r>
          </w:p>
        </w:tc>
      </w:tr>
      <w:tr w:rsidR="00FE3852" w:rsidRPr="00DB7F0A" w:rsidTr="00DB7F0A">
        <w:trPr>
          <w:trHeight w:val="476"/>
          <w:jc w:val="center"/>
        </w:trPr>
        <w:tc>
          <w:tcPr>
            <w:tcW w:w="2410" w:type="dxa"/>
            <w:vMerge/>
            <w:tcBorders>
              <w:top w:val="nil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 xml:space="preserve">Discrecional: 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Basada en la discreción de una entidad privada.</w:t>
            </w:r>
          </w:p>
        </w:tc>
      </w:tr>
      <w:tr w:rsidR="00FE3852" w:rsidRPr="00DB7F0A" w:rsidTr="00DB7F0A">
        <w:trPr>
          <w:trHeight w:val="476"/>
          <w:jc w:val="center"/>
        </w:trPr>
        <w:tc>
          <w:tcPr>
            <w:tcW w:w="2410" w:type="dxa"/>
            <w:vMerge w:val="restart"/>
            <w:tcBorders>
              <w:top w:val="nil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Método de obtención de fondos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 xml:space="preserve">Mecanismo mediante el cual se define y recaudan los ingresos en un determinado esquema de financiamiento. 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>Obligatoria: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 xml:space="preserve"> Impuestos y otros fondos públicos generales. Pre-pago obligatorio</w:t>
            </w:r>
          </w:p>
        </w:tc>
      </w:tr>
      <w:tr w:rsidR="00FE3852" w:rsidRPr="00DB7F0A" w:rsidTr="00DB7F0A">
        <w:trPr>
          <w:trHeight w:val="476"/>
          <w:jc w:val="center"/>
        </w:trPr>
        <w:tc>
          <w:tcPr>
            <w:tcW w:w="2410" w:type="dxa"/>
            <w:vMerge/>
            <w:tcBorders>
              <w:top w:val="nil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>Voluntario: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 xml:space="preserve"> Pagos voluntariosa los seguros de salud y pagos directos</w:t>
            </w:r>
          </w:p>
        </w:tc>
      </w:tr>
      <w:tr w:rsidR="00FE3852" w:rsidRPr="00DB7F0A" w:rsidTr="00DB7F0A">
        <w:trPr>
          <w:trHeight w:val="714"/>
          <w:jc w:val="center"/>
        </w:trPr>
        <w:tc>
          <w:tcPr>
            <w:tcW w:w="2410" w:type="dxa"/>
            <w:vMerge w:val="restart"/>
            <w:tcBorders>
              <w:top w:val="nil"/>
              <w:left w:val="single" w:sz="8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Mecanismo y cobertura de los fondos mancomunados y la reasignación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Definido en la reglamentación del esquema determinado.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>Mancomunación entre individuos: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 xml:space="preserve"> A nivel geográfico, nacional o </w:t>
            </w:r>
            <w:proofErr w:type="spellStart"/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subnacional</w:t>
            </w:r>
            <w:proofErr w:type="spellEnd"/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; a nivel esquema, fondos de seguro o programas.</w:t>
            </w:r>
          </w:p>
        </w:tc>
      </w:tr>
      <w:tr w:rsidR="00FE3852" w:rsidRPr="00DB7F0A" w:rsidTr="00DB7F0A">
        <w:trPr>
          <w:trHeight w:val="728"/>
          <w:jc w:val="center"/>
        </w:trPr>
        <w:tc>
          <w:tcPr>
            <w:tcW w:w="2410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77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>Sin mancomunación interpersonal: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 xml:space="preserve"> Pagos directos, cuentas de ahorros médicos obligatorios.</w:t>
            </w:r>
          </w:p>
        </w:tc>
      </w:tr>
    </w:tbl>
    <w:p w:rsidR="00C2331A" w:rsidRDefault="00C2331A" w:rsidP="00181B73">
      <w:pPr>
        <w:rPr>
          <w:rFonts w:ascii="Montserrat" w:hAnsi="Montserrat"/>
          <w:b/>
          <w:color w:val="13322B" w:themeColor="accent3"/>
          <w:sz w:val="28"/>
        </w:rPr>
      </w:pPr>
    </w:p>
    <w:p w:rsidR="00C2331A" w:rsidRPr="00DB7F0A" w:rsidRDefault="00C2331A" w:rsidP="00181B73">
      <w:pPr>
        <w:rPr>
          <w:rFonts w:ascii="Montserrat" w:hAnsi="Montserrat"/>
          <w:b/>
          <w:color w:val="13322B" w:themeColor="accent3"/>
          <w:sz w:val="28"/>
        </w:rPr>
      </w:pPr>
    </w:p>
    <w:p w:rsidR="004B61B8" w:rsidRPr="00DB7F0A" w:rsidRDefault="004B61B8" w:rsidP="00DB7F0A">
      <w:pPr>
        <w:pStyle w:val="Prrafodelista"/>
        <w:numPr>
          <w:ilvl w:val="0"/>
          <w:numId w:val="2"/>
        </w:numPr>
        <w:rPr>
          <w:rFonts w:ascii="Montserrat" w:hAnsi="Montserrat"/>
          <w:b/>
          <w:color w:val="13322B" w:themeColor="accent3"/>
          <w:sz w:val="24"/>
          <w:szCs w:val="24"/>
        </w:rPr>
      </w:pPr>
      <w:r w:rsidRPr="00DB7F0A">
        <w:rPr>
          <w:rFonts w:ascii="Montserrat" w:hAnsi="Montserrat"/>
          <w:b/>
          <w:color w:val="13322B" w:themeColor="accent3"/>
          <w:sz w:val="24"/>
          <w:szCs w:val="24"/>
        </w:rPr>
        <w:t>Integración del Clasificador de los esquemas de Financiamiento en el SINBA</w:t>
      </w:r>
    </w:p>
    <w:p w:rsidR="008E6FCD" w:rsidRPr="00DB7F0A" w:rsidRDefault="004B61B8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Para iniciar con la clasificación </w:t>
      </w:r>
      <w:r w:rsidR="005605D3" w:rsidRPr="00DB7F0A">
        <w:rPr>
          <w:rFonts w:ascii="Montserrat" w:hAnsi="Montserrat"/>
          <w:sz w:val="22"/>
        </w:rPr>
        <w:t xml:space="preserve">hay que identificar las columnas </w:t>
      </w:r>
      <w:r w:rsidR="00C80851">
        <w:rPr>
          <w:rFonts w:ascii="Montserrat" w:hAnsi="Montserrat"/>
          <w:sz w:val="22"/>
        </w:rPr>
        <w:t>la matriz de gasto</w:t>
      </w:r>
      <w:r w:rsidR="005605D3" w:rsidRPr="00DB7F0A">
        <w:rPr>
          <w:rFonts w:ascii="Montserrat" w:hAnsi="Montserrat"/>
          <w:sz w:val="22"/>
        </w:rPr>
        <w:t xml:space="preserve"> que se utilizarán para alojar las claves pertenecientes a este clasificador. De las 39 </w:t>
      </w:r>
      <w:r w:rsidR="005F2282" w:rsidRPr="00DB7F0A">
        <w:rPr>
          <w:rFonts w:ascii="Montserrat" w:hAnsi="Montserrat"/>
          <w:sz w:val="22"/>
        </w:rPr>
        <w:t>columnas</w:t>
      </w:r>
      <w:r w:rsidR="005605D3" w:rsidRPr="00DB7F0A">
        <w:rPr>
          <w:rFonts w:ascii="Montserrat" w:hAnsi="Montserrat"/>
          <w:sz w:val="22"/>
        </w:rPr>
        <w:t xml:space="preserve"> que contiene el documento, se </w:t>
      </w:r>
      <w:r w:rsidR="00C879A5" w:rsidRPr="00DB7F0A">
        <w:rPr>
          <w:rFonts w:ascii="Montserrat" w:hAnsi="Montserrat"/>
          <w:sz w:val="22"/>
        </w:rPr>
        <w:t>han asignado al clasificador de la AC-AF</w:t>
      </w:r>
      <w:r w:rsidR="00E04104" w:rsidRPr="00DB7F0A">
        <w:rPr>
          <w:rFonts w:ascii="Montserrat" w:hAnsi="Montserrat"/>
          <w:sz w:val="22"/>
        </w:rPr>
        <w:t>.</w:t>
      </w:r>
    </w:p>
    <w:p w:rsidR="00002A8D" w:rsidRDefault="00002A8D" w:rsidP="008356E5">
      <w:pPr>
        <w:pStyle w:val="NayeliSalud"/>
        <w:jc w:val="both"/>
        <w:rPr>
          <w:rFonts w:ascii="Montserrat" w:hAnsi="Montserrat"/>
          <w:b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b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b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b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b/>
          <w:sz w:val="22"/>
        </w:rPr>
      </w:pPr>
    </w:p>
    <w:p w:rsidR="00C80851" w:rsidRPr="00DB7F0A" w:rsidRDefault="00C80851" w:rsidP="008356E5">
      <w:pPr>
        <w:pStyle w:val="NayeliSalud"/>
        <w:jc w:val="both"/>
        <w:rPr>
          <w:rFonts w:ascii="Montserrat" w:hAnsi="Montserrat"/>
          <w:b/>
          <w:sz w:val="22"/>
        </w:rPr>
      </w:pPr>
    </w:p>
    <w:p w:rsidR="00E04104" w:rsidRPr="00DB7F0A" w:rsidRDefault="002B12A1" w:rsidP="00C2331A">
      <w:pPr>
        <w:pStyle w:val="NayeliSalud"/>
        <w:jc w:val="center"/>
        <w:rPr>
          <w:rFonts w:ascii="Montserrat" w:hAnsi="Montserrat"/>
          <w:sz w:val="22"/>
        </w:rPr>
      </w:pPr>
      <w:r w:rsidRPr="00C2331A">
        <w:rPr>
          <w:rFonts w:ascii="Montserrat" w:hAnsi="Montserrat"/>
          <w:b/>
          <w:color w:val="B8985B" w:themeColor="accent5" w:themeShade="BF"/>
          <w:sz w:val="22"/>
        </w:rPr>
        <w:lastRenderedPageBreak/>
        <w:t>Figura 1: Detalle de los campos asignados al Clasificador po</w:t>
      </w:r>
      <w:r w:rsidR="00002A8D" w:rsidRPr="00C2331A">
        <w:rPr>
          <w:rFonts w:ascii="Montserrat" w:hAnsi="Montserrat"/>
          <w:b/>
          <w:color w:val="B8985B" w:themeColor="accent5" w:themeShade="BF"/>
          <w:sz w:val="22"/>
        </w:rPr>
        <w:t>r Esquemas de Financiamiento (HF</w:t>
      </w:r>
      <w:r w:rsidRPr="00C2331A">
        <w:rPr>
          <w:rFonts w:ascii="Montserrat" w:hAnsi="Montserrat"/>
          <w:b/>
          <w:color w:val="B8985B" w:themeColor="accent5" w:themeShade="BF"/>
          <w:sz w:val="22"/>
        </w:rPr>
        <w:t>)</w:t>
      </w:r>
    </w:p>
    <w:p w:rsidR="00581295" w:rsidRPr="00DB7F0A" w:rsidRDefault="00C2331A" w:rsidP="00E04104">
      <w:pPr>
        <w:pStyle w:val="NayeliSalud"/>
        <w:jc w:val="center"/>
        <w:rPr>
          <w:rFonts w:ascii="Montserrat" w:hAnsi="Montserrat"/>
          <w:sz w:val="22"/>
        </w:rPr>
      </w:pPr>
      <w:r w:rsidRPr="00DB7F0A">
        <w:rPr>
          <w:rFonts w:ascii="Montserrat" w:hAnsi="Montserrat"/>
          <w:noProof/>
          <w:sz w:val="22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717078" wp14:editId="34F49851">
                <wp:simplePos x="0" y="0"/>
                <wp:positionH relativeFrom="column">
                  <wp:posOffset>1758686</wp:posOffset>
                </wp:positionH>
                <wp:positionV relativeFrom="paragraph">
                  <wp:posOffset>82550</wp:posOffset>
                </wp:positionV>
                <wp:extent cx="594995" cy="396240"/>
                <wp:effectExtent l="0" t="0" r="14605" b="2286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995" cy="3962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851" w:rsidRPr="00C2331A" w:rsidRDefault="00C80851" w:rsidP="00E04104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</w:pPr>
                            <w:r w:rsidRPr="00C2331A"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  <w:t>Dígito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717078" id="Rectángulo 2" o:spid="_x0000_s1027" style="position:absolute;left:0;text-align:left;margin-left:138.5pt;margin-top:6.5pt;width:46.85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" fillcolor="white [3201]" strokecolor="#9d2449 [3205]" strokeweight="1pt">
                <v:textbox>
                  <w:txbxContent>
                    <w:p w:rsidR="00C80851" w:rsidRPr="00C2331A" w:rsidRDefault="00C80851" w:rsidP="00E04104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</w:pPr>
                      <w:r w:rsidRPr="00C2331A"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  <w:t>Dígito 1</w:t>
                      </w:r>
                    </w:p>
                  </w:txbxContent>
                </v:textbox>
              </v:rect>
            </w:pict>
          </mc:Fallback>
        </mc:AlternateContent>
      </w:r>
      <w:r w:rsidRPr="00DB7F0A">
        <w:rPr>
          <w:rFonts w:ascii="Montserrat" w:hAnsi="Montserrat"/>
          <w:noProof/>
          <w:sz w:val="22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44EDCD" wp14:editId="7C63D1D2">
                <wp:simplePos x="0" y="0"/>
                <wp:positionH relativeFrom="column">
                  <wp:posOffset>2524389</wp:posOffset>
                </wp:positionH>
                <wp:positionV relativeFrom="paragraph">
                  <wp:posOffset>82550</wp:posOffset>
                </wp:positionV>
                <wp:extent cx="594995" cy="396240"/>
                <wp:effectExtent l="0" t="0" r="14605" b="2286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995" cy="3962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851" w:rsidRPr="00C2331A" w:rsidRDefault="00C80851" w:rsidP="006D5A31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</w:pPr>
                            <w:r w:rsidRPr="00C2331A"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  <w:t>Dígito 2</w:t>
                            </w:r>
                          </w:p>
                          <w:p w:rsidR="00C80851" w:rsidRPr="00C2331A" w:rsidRDefault="00C80851" w:rsidP="00E04104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44EDCD" id="Rectángulo 3" o:spid="_x0000_s1028" style="position:absolute;left:0;text-align:left;margin-left:198.75pt;margin-top:6.5pt;width:46.85pt;height:3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" fillcolor="white [3201]" strokecolor="#9d2449 [3205]" strokeweight="1pt">
                <v:textbox>
                  <w:txbxContent>
                    <w:p w:rsidR="00C80851" w:rsidRPr="00C2331A" w:rsidRDefault="00C80851" w:rsidP="006D5A31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</w:pPr>
                      <w:r w:rsidRPr="00C2331A"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  <w:t>Dígito 2</w:t>
                      </w:r>
                    </w:p>
                    <w:p w:rsidR="00C80851" w:rsidRPr="00C2331A" w:rsidRDefault="00C80851" w:rsidP="00E04104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DB7F0A">
        <w:rPr>
          <w:rFonts w:ascii="Montserrat" w:hAnsi="Montserrat"/>
          <w:noProof/>
          <w:sz w:val="22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756B57" wp14:editId="5FA39A6E">
                <wp:simplePos x="0" y="0"/>
                <wp:positionH relativeFrom="column">
                  <wp:posOffset>3266811</wp:posOffset>
                </wp:positionH>
                <wp:positionV relativeFrom="paragraph">
                  <wp:posOffset>82550</wp:posOffset>
                </wp:positionV>
                <wp:extent cx="594995" cy="396240"/>
                <wp:effectExtent l="0" t="0" r="14605" b="22860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995" cy="3962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851" w:rsidRPr="00C2331A" w:rsidRDefault="00C80851" w:rsidP="006D5A31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</w:pPr>
                            <w:r w:rsidRPr="00C2331A"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  <w:t>Dígito 3</w:t>
                            </w:r>
                          </w:p>
                          <w:p w:rsidR="00C80851" w:rsidRPr="00C2331A" w:rsidRDefault="00C80851" w:rsidP="00E04104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756B57" id="Rectángulo 4" o:spid="_x0000_s1029" style="position:absolute;left:0;text-align:left;margin-left:257.25pt;margin-top:6.5pt;width:46.85pt;height:3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" fillcolor="white [3201]" strokecolor="#9d2449 [3205]" strokeweight="1pt">
                <v:textbox>
                  <w:txbxContent>
                    <w:p w:rsidR="00C80851" w:rsidRPr="00C2331A" w:rsidRDefault="00C80851" w:rsidP="006D5A31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</w:pPr>
                      <w:r w:rsidRPr="00C2331A"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  <w:t>Dígito 3</w:t>
                      </w:r>
                    </w:p>
                    <w:p w:rsidR="00C80851" w:rsidRPr="00C2331A" w:rsidRDefault="00C80851" w:rsidP="00E04104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DB7F0A">
        <w:rPr>
          <w:rFonts w:ascii="Montserrat" w:hAnsi="Montserrat"/>
          <w:noProof/>
          <w:sz w:val="22"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686626" wp14:editId="1A2380C5">
                <wp:simplePos x="0" y="0"/>
                <wp:positionH relativeFrom="column">
                  <wp:posOffset>4030345</wp:posOffset>
                </wp:positionH>
                <wp:positionV relativeFrom="paragraph">
                  <wp:posOffset>82550</wp:posOffset>
                </wp:positionV>
                <wp:extent cx="594995" cy="396240"/>
                <wp:effectExtent l="0" t="0" r="14605" b="2286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995" cy="3962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851" w:rsidRPr="00C2331A" w:rsidRDefault="00C80851" w:rsidP="006D5A31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</w:pPr>
                            <w:r w:rsidRPr="00C2331A"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  <w:t>Dígito 4</w:t>
                            </w:r>
                          </w:p>
                          <w:p w:rsidR="00C80851" w:rsidRPr="00C2331A" w:rsidRDefault="00C80851" w:rsidP="00E04104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686626" id="Rectángulo 5" o:spid="_x0000_s1030" style="position:absolute;left:0;text-align:left;margin-left:317.35pt;margin-top:6.5pt;width:46.85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" fillcolor="white [3201]" strokecolor="#9d2449 [3205]" strokeweight="1pt">
                <v:textbox>
                  <w:txbxContent>
                    <w:p w:rsidR="00C80851" w:rsidRPr="00C2331A" w:rsidRDefault="00C80851" w:rsidP="006D5A31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</w:pPr>
                      <w:r w:rsidRPr="00C2331A"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  <w:t>Dígito 4</w:t>
                      </w:r>
                    </w:p>
                    <w:p w:rsidR="00C80851" w:rsidRPr="00C2331A" w:rsidRDefault="00C80851" w:rsidP="00E04104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04104" w:rsidRPr="00DB7F0A" w:rsidRDefault="00432EDC" w:rsidP="00E04104">
      <w:pPr>
        <w:pStyle w:val="NayeliSalud"/>
        <w:jc w:val="center"/>
        <w:rPr>
          <w:rFonts w:ascii="Montserrat" w:hAnsi="Montserrat"/>
          <w:sz w:val="22"/>
        </w:rPr>
      </w:pPr>
      <w:r>
        <w:rPr>
          <w:noProof/>
          <w:lang w:eastAsia="es-MX"/>
        </w:rPr>
        <w:drawing>
          <wp:inline distT="0" distB="0" distL="0" distR="0" wp14:anchorId="01067BA8" wp14:editId="4239A5EA">
            <wp:extent cx="3076575" cy="2933700"/>
            <wp:effectExtent l="323850" t="323850" r="333375" b="3238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293370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581295" w:rsidRPr="00DB7F0A">
        <w:rPr>
          <w:rFonts w:ascii="Montserrat" w:hAnsi="Montserrat"/>
          <w:sz w:val="22"/>
        </w:rPr>
        <w:t xml:space="preserve">         </w:t>
      </w:r>
      <w:bookmarkStart w:id="0" w:name="_GoBack"/>
      <w:bookmarkEnd w:id="0"/>
      <w:r w:rsidR="00581295" w:rsidRPr="00DB7F0A">
        <w:rPr>
          <w:rFonts w:ascii="Montserrat" w:hAnsi="Montserrat"/>
          <w:sz w:val="22"/>
        </w:rPr>
        <w:t xml:space="preserve">                      </w:t>
      </w:r>
    </w:p>
    <w:p w:rsidR="005F2282" w:rsidRPr="00DB7F0A" w:rsidRDefault="005F2282" w:rsidP="005F2282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Es de aclarar que a pesar de que se han presentado la totalidad de las categorías contenidas en el Clasificador y se han explicado a grandes rasgos las claves HF, no hay que caer en la confusión de que es necesario usar todas claves al momento de </w:t>
      </w:r>
      <w:r w:rsidR="006D5A31" w:rsidRPr="00DB7F0A">
        <w:rPr>
          <w:rFonts w:ascii="Montserrat" w:hAnsi="Montserrat"/>
          <w:sz w:val="22"/>
        </w:rPr>
        <w:t>asignar a la</w:t>
      </w:r>
      <w:r w:rsidRPr="00DB7F0A">
        <w:rPr>
          <w:rFonts w:ascii="Montserrat" w:hAnsi="Montserrat"/>
          <w:sz w:val="22"/>
        </w:rPr>
        <w:t xml:space="preserve"> información financiera. Son pocas las categorías y claves que se llegaran a usar, ya que en nuestro país hay varias fuentes de financiamiento que no se presentan en su esquema de financiamiento. </w:t>
      </w:r>
    </w:p>
    <w:p w:rsidR="00943B5B" w:rsidRDefault="005F2282" w:rsidP="0058129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Para poder asignar las claves se </w:t>
      </w:r>
      <w:r w:rsidR="006D5A31" w:rsidRPr="00DB7F0A">
        <w:rPr>
          <w:rFonts w:ascii="Montserrat" w:hAnsi="Montserrat"/>
          <w:sz w:val="22"/>
        </w:rPr>
        <w:t>tomará</w:t>
      </w:r>
      <w:r w:rsidRPr="00DB7F0A">
        <w:rPr>
          <w:rFonts w:ascii="Montserrat" w:hAnsi="Montserrat"/>
          <w:sz w:val="22"/>
        </w:rPr>
        <w:t xml:space="preserve"> d</w:t>
      </w:r>
      <w:r w:rsidR="006D5A31" w:rsidRPr="00DB7F0A">
        <w:rPr>
          <w:rFonts w:ascii="Montserrat" w:hAnsi="Montserrat"/>
          <w:sz w:val="22"/>
        </w:rPr>
        <w:t>e referencia la columna E</w:t>
      </w:r>
      <w:r w:rsidRPr="00DB7F0A">
        <w:rPr>
          <w:rFonts w:ascii="Montserrat" w:hAnsi="Montserrat"/>
          <w:sz w:val="22"/>
        </w:rPr>
        <w:t xml:space="preserve">, </w:t>
      </w:r>
      <w:proofErr w:type="spellStart"/>
      <w:r w:rsidRPr="00943B5B">
        <w:rPr>
          <w:rFonts w:ascii="Montserrat" w:hAnsi="Montserrat"/>
          <w:b/>
          <w:sz w:val="22"/>
        </w:rPr>
        <w:t>Cve_FF_VM</w:t>
      </w:r>
      <w:proofErr w:type="spellEnd"/>
      <w:r w:rsidRPr="00DB7F0A">
        <w:rPr>
          <w:rFonts w:ascii="Montserrat" w:hAnsi="Montserrat"/>
          <w:sz w:val="22"/>
        </w:rPr>
        <w:t xml:space="preserve"> que se refiere a la fuente de financiamiento </w:t>
      </w:r>
      <w:r w:rsidR="00943B5B">
        <w:rPr>
          <w:rFonts w:ascii="Montserrat" w:hAnsi="Montserrat"/>
          <w:sz w:val="22"/>
        </w:rPr>
        <w:t>d</w:t>
      </w:r>
      <w:r w:rsidRPr="00DB7F0A">
        <w:rPr>
          <w:rFonts w:ascii="Montserrat" w:hAnsi="Montserrat"/>
          <w:sz w:val="22"/>
        </w:rPr>
        <w:t>el ejercicio del gasto. El Cuadro 3 presenta de forma sencilla la equivalencia de claves, designadas del Clasificador HF al catálogo de las fuentes de financiamiento</w:t>
      </w:r>
      <w:r w:rsidR="006D5A31" w:rsidRPr="00DB7F0A">
        <w:rPr>
          <w:rFonts w:ascii="Montserrat" w:hAnsi="Montserrat"/>
          <w:sz w:val="22"/>
        </w:rPr>
        <w:t xml:space="preserve">. </w:t>
      </w:r>
    </w:p>
    <w:p w:rsidR="005F2282" w:rsidRPr="00DB7F0A" w:rsidRDefault="006D5A31" w:rsidP="00581295">
      <w:pPr>
        <w:pStyle w:val="NayeliSalud"/>
        <w:jc w:val="both"/>
        <w:rPr>
          <w:rFonts w:ascii="Montserrat" w:hAnsi="Montserrat"/>
          <w:b/>
          <w:sz w:val="22"/>
        </w:rPr>
      </w:pPr>
      <w:r w:rsidRPr="00DB7F0A">
        <w:rPr>
          <w:rFonts w:ascii="Montserrat" w:hAnsi="Montserrat"/>
          <w:sz w:val="22"/>
        </w:rPr>
        <w:t xml:space="preserve">Se resaltaron aquellas fuentes de financiamiento que las </w:t>
      </w:r>
      <w:r w:rsidR="00943B5B">
        <w:rPr>
          <w:rFonts w:ascii="Montserrat" w:hAnsi="Montserrat"/>
          <w:sz w:val="22"/>
        </w:rPr>
        <w:t>Instituciones de Seguridad Social</w:t>
      </w:r>
      <w:r w:rsidRPr="00DB7F0A">
        <w:rPr>
          <w:rFonts w:ascii="Montserrat" w:hAnsi="Montserrat"/>
          <w:sz w:val="22"/>
        </w:rPr>
        <w:t xml:space="preserve"> manejan.</w:t>
      </w:r>
    </w:p>
    <w:p w:rsidR="0035280F" w:rsidRPr="00DB7F0A" w:rsidRDefault="0035280F" w:rsidP="00581295">
      <w:pPr>
        <w:pStyle w:val="NayeliSalud"/>
        <w:jc w:val="both"/>
        <w:rPr>
          <w:rFonts w:ascii="Montserrat" w:hAnsi="Montserrat"/>
          <w:b/>
          <w:sz w:val="22"/>
        </w:rPr>
      </w:pPr>
    </w:p>
    <w:p w:rsidR="006D5A31" w:rsidRDefault="006D5A31" w:rsidP="003D5D9D">
      <w:pPr>
        <w:pStyle w:val="NayeliSalud"/>
        <w:jc w:val="center"/>
        <w:rPr>
          <w:rFonts w:ascii="Montserrat" w:hAnsi="Montserrat"/>
          <w:b/>
          <w:sz w:val="22"/>
        </w:rPr>
      </w:pPr>
    </w:p>
    <w:p w:rsidR="00C80851" w:rsidRDefault="00C80851" w:rsidP="003D5D9D">
      <w:pPr>
        <w:pStyle w:val="NayeliSalud"/>
        <w:jc w:val="center"/>
        <w:rPr>
          <w:rFonts w:ascii="Montserrat" w:hAnsi="Montserrat"/>
          <w:b/>
          <w:sz w:val="22"/>
        </w:rPr>
      </w:pPr>
    </w:p>
    <w:p w:rsidR="00C80851" w:rsidRDefault="00C80851" w:rsidP="003D5D9D">
      <w:pPr>
        <w:pStyle w:val="NayeliSalud"/>
        <w:jc w:val="center"/>
        <w:rPr>
          <w:rFonts w:ascii="Montserrat" w:hAnsi="Montserrat"/>
          <w:b/>
          <w:sz w:val="22"/>
        </w:rPr>
      </w:pPr>
    </w:p>
    <w:p w:rsidR="00C80851" w:rsidRDefault="00C80851" w:rsidP="003D5D9D">
      <w:pPr>
        <w:pStyle w:val="NayeliSalud"/>
        <w:jc w:val="center"/>
        <w:rPr>
          <w:rFonts w:ascii="Montserrat" w:hAnsi="Montserrat"/>
          <w:b/>
          <w:sz w:val="22"/>
        </w:rPr>
      </w:pPr>
    </w:p>
    <w:p w:rsidR="00C80851" w:rsidRPr="00DB7F0A" w:rsidRDefault="00C80851" w:rsidP="003D5D9D">
      <w:pPr>
        <w:pStyle w:val="NayeliSalud"/>
        <w:jc w:val="center"/>
        <w:rPr>
          <w:rFonts w:ascii="Montserrat" w:hAnsi="Montserrat"/>
          <w:b/>
          <w:sz w:val="22"/>
        </w:rPr>
      </w:pPr>
    </w:p>
    <w:p w:rsidR="000A67D0" w:rsidRPr="00C2331A" w:rsidRDefault="000A67D0" w:rsidP="003D5D9D">
      <w:pPr>
        <w:pStyle w:val="NayeliSalud"/>
        <w:jc w:val="center"/>
        <w:rPr>
          <w:rFonts w:ascii="Montserrat" w:hAnsi="Montserrat"/>
          <w:b/>
          <w:color w:val="B8985B" w:themeColor="accent5" w:themeShade="BF"/>
          <w:sz w:val="22"/>
        </w:rPr>
      </w:pPr>
      <w:r w:rsidRPr="00C2331A">
        <w:rPr>
          <w:rFonts w:ascii="Montserrat" w:hAnsi="Montserrat"/>
          <w:b/>
          <w:color w:val="B8985B" w:themeColor="accent5" w:themeShade="BF"/>
          <w:sz w:val="22"/>
        </w:rPr>
        <w:t>Cuadro 3: Equivalencia de las Fuentes de Financiamiento con el Clasificador de lo</w:t>
      </w:r>
      <w:r w:rsidR="005C5944" w:rsidRPr="00C2331A">
        <w:rPr>
          <w:rFonts w:ascii="Montserrat" w:hAnsi="Montserrat"/>
          <w:b/>
          <w:color w:val="B8985B" w:themeColor="accent5" w:themeShade="BF"/>
          <w:sz w:val="22"/>
        </w:rPr>
        <w:t>s Esquemas de financiamiento (HF</w:t>
      </w:r>
      <w:r w:rsidRPr="00C2331A">
        <w:rPr>
          <w:rFonts w:ascii="Montserrat" w:hAnsi="Montserrat"/>
          <w:b/>
          <w:color w:val="B8985B" w:themeColor="accent5" w:themeShade="BF"/>
          <w:sz w:val="22"/>
        </w:rPr>
        <w:t>)</w:t>
      </w:r>
    </w:p>
    <w:p w:rsidR="00943B5B" w:rsidRDefault="00C2331A" w:rsidP="00581295">
      <w:pPr>
        <w:pStyle w:val="NayeliSalud"/>
        <w:jc w:val="both"/>
        <w:rPr>
          <w:rFonts w:asciiTheme="minorHAnsi" w:hAnsiTheme="minorHAnsi"/>
          <w:sz w:val="22"/>
        </w:rPr>
      </w:pPr>
      <w:r>
        <w:fldChar w:fldCharType="begin"/>
      </w:r>
      <w:r>
        <w:instrText xml:space="preserve"> LINK </w:instrText>
      </w:r>
      <w:r w:rsidR="00432EDC">
        <w:instrText xml:space="preserve">Excel.Sheet.12 "D:\\Nayeli.ortiz\\1. SICUENTAS\\2_Integración Información financiera\\a. Integración DGIS\\Ejercicio 2018\\g.Integración\\Catálogos\\Equivalencias_SESAS-2018.xlsx" FF=HF!F1C1:F18C7 </w:instrText>
      </w:r>
      <w:r>
        <w:instrText xml:space="preserve">\a \f 4 \h  \* MERGEFORMAT </w:instrText>
      </w:r>
      <w:r>
        <w:fldChar w:fldCharType="separate"/>
      </w:r>
    </w:p>
    <w:tbl>
      <w:tblPr>
        <w:tblW w:w="1007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3"/>
        <w:gridCol w:w="3067"/>
        <w:gridCol w:w="784"/>
        <w:gridCol w:w="815"/>
        <w:gridCol w:w="814"/>
        <w:gridCol w:w="850"/>
        <w:gridCol w:w="2717"/>
      </w:tblGrid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000000" w:fill="56242A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</w:pPr>
            <w:proofErr w:type="spellStart"/>
            <w:r w:rsidRPr="00943B5B"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  <w:t>Cve_FF_VM</w:t>
            </w:r>
            <w:proofErr w:type="spellEnd"/>
            <w:r w:rsidRPr="00943B5B"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  <w:t xml:space="preserve"> </w:t>
            </w:r>
          </w:p>
        </w:tc>
        <w:tc>
          <w:tcPr>
            <w:tcW w:w="3213" w:type="dxa"/>
            <w:tcBorders>
              <w:top w:val="dashed" w:sz="4" w:space="0" w:color="FFFFFF"/>
              <w:left w:val="dashed" w:sz="4" w:space="0" w:color="FFFFFF"/>
              <w:bottom w:val="nil"/>
              <w:right w:val="dashed" w:sz="4" w:space="0" w:color="FFFFFF"/>
            </w:tcBorders>
            <w:shd w:val="clear" w:color="000000" w:fill="808080"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  <w:t>Descripción</w:t>
            </w:r>
          </w:p>
        </w:tc>
        <w:tc>
          <w:tcPr>
            <w:tcW w:w="719" w:type="dxa"/>
            <w:tcBorders>
              <w:top w:val="dashed" w:sz="4" w:space="0" w:color="FFFFFF"/>
              <w:left w:val="nil"/>
              <w:bottom w:val="nil"/>
              <w:right w:val="dashed" w:sz="4" w:space="0" w:color="FFFFFF"/>
            </w:tcBorders>
            <w:shd w:val="clear" w:color="000000" w:fill="0070C0"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  <w:t>CveE_D1</w:t>
            </w:r>
          </w:p>
        </w:tc>
        <w:tc>
          <w:tcPr>
            <w:tcW w:w="747" w:type="dxa"/>
            <w:tcBorders>
              <w:top w:val="dashed" w:sz="4" w:space="0" w:color="FFFFFF"/>
              <w:left w:val="nil"/>
              <w:bottom w:val="nil"/>
              <w:right w:val="dashed" w:sz="4" w:space="0" w:color="FFFFFF"/>
            </w:tcBorders>
            <w:shd w:val="clear" w:color="000000" w:fill="0070C0"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  <w:t>CveE_D2</w:t>
            </w:r>
          </w:p>
        </w:tc>
        <w:tc>
          <w:tcPr>
            <w:tcW w:w="746" w:type="dxa"/>
            <w:tcBorders>
              <w:top w:val="dashed" w:sz="4" w:space="0" w:color="FFFFFF"/>
              <w:left w:val="nil"/>
              <w:bottom w:val="nil"/>
              <w:right w:val="dashed" w:sz="4" w:space="0" w:color="FFFFFF"/>
            </w:tcBorders>
            <w:shd w:val="clear" w:color="000000" w:fill="0070C0"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  <w:t>CveE_D3</w:t>
            </w:r>
          </w:p>
        </w:tc>
        <w:tc>
          <w:tcPr>
            <w:tcW w:w="868" w:type="dxa"/>
            <w:tcBorders>
              <w:top w:val="dashed" w:sz="4" w:space="0" w:color="FFFFFF"/>
              <w:left w:val="nil"/>
              <w:bottom w:val="nil"/>
              <w:right w:val="dashed" w:sz="4" w:space="0" w:color="FFFFFF"/>
            </w:tcBorders>
            <w:shd w:val="clear" w:color="000000" w:fill="0070C0"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  <w:t>CveE_D4</w:t>
            </w:r>
          </w:p>
        </w:tc>
        <w:tc>
          <w:tcPr>
            <w:tcW w:w="2845" w:type="dxa"/>
            <w:tcBorders>
              <w:top w:val="dashed" w:sz="4" w:space="0" w:color="FFFFFF"/>
              <w:left w:val="nil"/>
              <w:bottom w:val="nil"/>
              <w:right w:val="dashed" w:sz="4" w:space="0" w:color="FFFFFF"/>
            </w:tcBorders>
            <w:shd w:val="clear" w:color="000000" w:fill="808080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  <w:t>Descripción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A01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Ramo 07 (SEDENA)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HF.1.1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HF.1.1.1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del gobierno central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A02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Ramo 12 (SALUD)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HF.1.1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HF.1.1.1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del gobierno central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A03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Ramo 13 (SEMAR)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HF.1.1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HF.1.1.1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del gobierno central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A04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Ramo 19 (IMSS-Prospera)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HF.1.1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HF.1.1.1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del gobierno central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A05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Ramo 33 (FASSA)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HF.1.1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HF.1.1.1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del gobierno central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A06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Gasto Estatal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HF.1.1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HF.1.1.2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del gobierno regional y local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A07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Instituto de Seguridad y Servicios Sociales de los Trabajadores del Estado (ISSSTE)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HF.1.2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HF.1.2.1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 seguros sociales de salud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A08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Instituto Mexicano del Seguro Social (IMSS)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HF.1.2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HF.1.2.1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 seguros sociales de salud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A09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Petróleos Mexicanos (PEMEX)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HF.1.2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HF.1.2.1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 seguros sociales de salud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A10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Instituto de Seguridad Social para las Fuerzas Armadas Mexicanas (ISSFAM)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HF.1.2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HF.1.2.1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 seguros sociales de salud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A11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Instituciones de Seguridad Social de las Entidades Federativas (ISSES)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HF.1.2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HF.1.2.1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B3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 seguros sociales de salud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A15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Pago de Primas de Seguros de Gasto Médicos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HF.2.1.1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HF.2.1.1.3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Otros esquemas de cobertura primaria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A17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Cuotas de recuperación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HF.3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HF.3.1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Gastos directos excluidos los pagos compartidos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A18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 xml:space="preserve">Gasto de Los Hogares 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HF.3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HF.3.1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Gastos directos excluidos los pagos compartidos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A21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Recursos propios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HF.3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HF.3.1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Gastos directos excluidos los pagos compartidos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A22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Recursos de Terceros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HF.4.2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HF.4.2.2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HF.4.2.2.3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 enclaves (p.ej. organizaciones internacionales o embajadas)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A24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 xml:space="preserve">Gasto de las ISFLH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HF.2.2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HF.2.2.1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 financiamiento ISFLSH</w:t>
            </w:r>
          </w:p>
        </w:tc>
      </w:tr>
    </w:tbl>
    <w:p w:rsidR="000A67D0" w:rsidRPr="00DB7F0A" w:rsidRDefault="00C2331A" w:rsidP="00581295">
      <w:pPr>
        <w:pStyle w:val="NayeliSalud"/>
        <w:jc w:val="both"/>
        <w:rPr>
          <w:rFonts w:ascii="Montserrat" w:hAnsi="Montserrat"/>
          <w:b/>
          <w:sz w:val="22"/>
        </w:rPr>
      </w:pPr>
      <w:r>
        <w:rPr>
          <w:rFonts w:ascii="Montserrat" w:hAnsi="Montserrat"/>
          <w:b/>
          <w:sz w:val="22"/>
        </w:rPr>
        <w:fldChar w:fldCharType="end"/>
      </w:r>
    </w:p>
    <w:p w:rsidR="002B12A1" w:rsidRPr="00DB7F0A" w:rsidRDefault="002B12A1" w:rsidP="0058129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Como </w:t>
      </w:r>
      <w:r w:rsidR="00432EDC">
        <w:rPr>
          <w:rFonts w:ascii="Montserrat" w:hAnsi="Montserrat"/>
          <w:sz w:val="22"/>
        </w:rPr>
        <w:t>se puede observar en la figura 2</w:t>
      </w:r>
      <w:r w:rsidRPr="00DB7F0A">
        <w:rPr>
          <w:rFonts w:ascii="Montserrat" w:hAnsi="Montserrat"/>
          <w:sz w:val="22"/>
        </w:rPr>
        <w:t>, al momento de reconocer alguna fuente de financ</w:t>
      </w:r>
      <w:r w:rsidR="006D5A31" w:rsidRPr="00DB7F0A">
        <w:rPr>
          <w:rFonts w:ascii="Montserrat" w:hAnsi="Montserrat"/>
          <w:sz w:val="22"/>
        </w:rPr>
        <w:t xml:space="preserve">iamiento </w:t>
      </w:r>
      <w:r w:rsidR="00002A8D" w:rsidRPr="00DB7F0A">
        <w:rPr>
          <w:rFonts w:ascii="Montserrat" w:hAnsi="Montserrat"/>
          <w:sz w:val="22"/>
        </w:rPr>
        <w:t>y asignar una clave HF</w:t>
      </w:r>
      <w:r w:rsidRPr="00DB7F0A">
        <w:rPr>
          <w:rFonts w:ascii="Montserrat" w:hAnsi="Montserrat"/>
          <w:sz w:val="22"/>
        </w:rPr>
        <w:t xml:space="preserve"> conforme a la descripción del Cuadro 3, será necesario tomar la fila completa con las claves correspondientes, ya sea una, dos o tres celdas según corresponda. </w:t>
      </w:r>
    </w:p>
    <w:p w:rsidR="003D5D9D" w:rsidRDefault="003D5D9D" w:rsidP="00581295">
      <w:pPr>
        <w:pStyle w:val="NayeliSalud"/>
        <w:jc w:val="both"/>
        <w:rPr>
          <w:rFonts w:ascii="Montserrat" w:hAnsi="Montserrat"/>
          <w:sz w:val="22"/>
        </w:rPr>
      </w:pPr>
    </w:p>
    <w:p w:rsidR="00C2331A" w:rsidRDefault="00C2331A" w:rsidP="00581295">
      <w:pPr>
        <w:pStyle w:val="NayeliSalud"/>
        <w:jc w:val="both"/>
        <w:rPr>
          <w:rFonts w:ascii="Montserrat" w:hAnsi="Montserrat"/>
          <w:sz w:val="22"/>
        </w:rPr>
      </w:pPr>
    </w:p>
    <w:p w:rsidR="00C2331A" w:rsidRDefault="00C2331A" w:rsidP="00581295">
      <w:pPr>
        <w:pStyle w:val="NayeliSalud"/>
        <w:jc w:val="both"/>
        <w:rPr>
          <w:rFonts w:ascii="Montserrat" w:hAnsi="Montserrat"/>
          <w:sz w:val="22"/>
        </w:rPr>
      </w:pPr>
    </w:p>
    <w:p w:rsidR="00C2331A" w:rsidRDefault="00C2331A" w:rsidP="00581295">
      <w:pPr>
        <w:pStyle w:val="NayeliSalud"/>
        <w:jc w:val="both"/>
        <w:rPr>
          <w:rFonts w:ascii="Montserrat" w:hAnsi="Montserrat"/>
          <w:sz w:val="22"/>
        </w:rPr>
      </w:pPr>
    </w:p>
    <w:p w:rsidR="00C2331A" w:rsidRDefault="00C2331A" w:rsidP="00581295">
      <w:pPr>
        <w:pStyle w:val="NayeliSalud"/>
        <w:jc w:val="both"/>
        <w:rPr>
          <w:rFonts w:ascii="Montserrat" w:hAnsi="Montserrat"/>
          <w:sz w:val="22"/>
        </w:rPr>
      </w:pPr>
    </w:p>
    <w:p w:rsidR="00C2331A" w:rsidRPr="00DB7F0A" w:rsidRDefault="00C2331A" w:rsidP="00581295">
      <w:pPr>
        <w:pStyle w:val="NayeliSalud"/>
        <w:jc w:val="both"/>
        <w:rPr>
          <w:rFonts w:ascii="Montserrat" w:hAnsi="Montserrat"/>
          <w:sz w:val="22"/>
        </w:rPr>
      </w:pPr>
    </w:p>
    <w:p w:rsidR="003D5D9D" w:rsidRPr="00C2331A" w:rsidRDefault="003D5D9D" w:rsidP="003D5D9D">
      <w:pPr>
        <w:pStyle w:val="NayeliSalud"/>
        <w:jc w:val="center"/>
        <w:rPr>
          <w:rFonts w:ascii="Montserrat" w:hAnsi="Montserrat"/>
          <w:b/>
          <w:color w:val="B8985B" w:themeColor="accent5" w:themeShade="BF"/>
          <w:sz w:val="22"/>
        </w:rPr>
      </w:pPr>
      <w:r w:rsidRPr="00C2331A">
        <w:rPr>
          <w:rFonts w:ascii="Montserrat" w:hAnsi="Montserrat"/>
          <w:b/>
          <w:color w:val="B8985B" w:themeColor="accent5" w:themeShade="BF"/>
          <w:sz w:val="22"/>
        </w:rPr>
        <w:t>Figura 2. Clasificación SICUENTAS HF</w:t>
      </w:r>
    </w:p>
    <w:p w:rsidR="003D5D9D" w:rsidRDefault="00C80851" w:rsidP="003D5D9D">
      <w:pPr>
        <w:pStyle w:val="NayeliSalud"/>
        <w:jc w:val="center"/>
        <w:rPr>
          <w:rFonts w:ascii="Montserrat" w:hAnsi="Montserrat"/>
          <w:b/>
          <w:sz w:val="22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2764155</wp:posOffset>
                </wp:positionV>
                <wp:extent cx="971550" cy="390525"/>
                <wp:effectExtent l="0" t="19050" r="19050" b="28575"/>
                <wp:wrapNone/>
                <wp:docPr id="6" name="Flecha curvada hacia arrib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9052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CD3D01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Flecha curvada hacia arriba 6" o:spid="_x0000_s1026" type="#_x0000_t104" style="position:absolute;margin-left:208.5pt;margin-top:217.65pt;width:76.5pt;height:3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" adj="17259,20515,5400" fillcolor="#285c4d [3204]" strokecolor="#142d26 [1604]" strokeweight="1pt"/>
            </w:pict>
          </mc:Fallback>
        </mc:AlternateContent>
      </w:r>
      <w:r w:rsidR="00943B5B">
        <w:rPr>
          <w:noProof/>
          <w:lang w:eastAsia="es-MX"/>
        </w:rPr>
        <w:drawing>
          <wp:inline distT="0" distB="0" distL="0" distR="0" wp14:anchorId="654A3FF1" wp14:editId="63178DBE">
            <wp:extent cx="5426075" cy="2533606"/>
            <wp:effectExtent l="323850" t="323850" r="327025" b="32448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8628" t="17990" r="59821" b="55820"/>
                    <a:stretch/>
                  </pic:blipFill>
                  <pic:spPr bwMode="auto">
                    <a:xfrm>
                      <a:off x="0" y="0"/>
                      <a:ext cx="5469212" cy="2553748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2387" w:rsidRPr="006B3DC1" w:rsidRDefault="00C52387" w:rsidP="00C52387">
      <w:pPr>
        <w:pStyle w:val="NayeliSalud"/>
        <w:jc w:val="both"/>
        <w:rPr>
          <w:rFonts w:ascii="Montserrat" w:hAnsi="Montserrat"/>
          <w:sz w:val="22"/>
        </w:rPr>
      </w:pPr>
    </w:p>
    <w:p w:rsidR="00C52387" w:rsidRPr="00DB7F0A" w:rsidRDefault="00C52387" w:rsidP="00C52387">
      <w:pPr>
        <w:pStyle w:val="NayeliSalud"/>
        <w:jc w:val="both"/>
        <w:rPr>
          <w:rFonts w:ascii="Montserrat" w:hAnsi="Montserrat"/>
          <w:b/>
          <w:sz w:val="22"/>
        </w:rPr>
      </w:pPr>
    </w:p>
    <w:sectPr w:rsidR="00C52387" w:rsidRPr="00DB7F0A" w:rsidSect="00DB7F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73E" w:rsidRDefault="0050173E" w:rsidP="0035280F">
      <w:pPr>
        <w:spacing w:after="0" w:line="240" w:lineRule="auto"/>
      </w:pPr>
      <w:r>
        <w:separator/>
      </w:r>
    </w:p>
  </w:endnote>
  <w:endnote w:type="continuationSeparator" w:id="0">
    <w:p w:rsidR="0050173E" w:rsidRDefault="0050173E" w:rsidP="00352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851" w:rsidRDefault="00C8085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851" w:rsidRDefault="00C8085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851" w:rsidRDefault="00C808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73E" w:rsidRDefault="0050173E" w:rsidP="0035280F">
      <w:pPr>
        <w:spacing w:after="0" w:line="240" w:lineRule="auto"/>
      </w:pPr>
      <w:r>
        <w:separator/>
      </w:r>
    </w:p>
  </w:footnote>
  <w:footnote w:type="continuationSeparator" w:id="0">
    <w:p w:rsidR="0050173E" w:rsidRDefault="0050173E" w:rsidP="00352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851" w:rsidRDefault="0050173E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23657" o:spid="_x0000_s2051" type="#_x0000_t75" style="position:absolute;margin-left:0;margin-top:0;width:639.45pt;height:826.75pt;z-index:-251657216;mso-position-horizontal:center;mso-position-horizontal-relative:margin;mso-position-vertical:center;mso-position-vertical-relative:margin" o:allowincell="f">
          <v:imagedata r:id="rId1" o:title="Marca de Agua 4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851" w:rsidRPr="006B1ACA" w:rsidRDefault="0050173E" w:rsidP="00DB7F0A">
    <w:pPr>
      <w:pStyle w:val="Encabezado"/>
      <w:rPr>
        <w:rFonts w:ascii="Montserrat" w:hAnsi="Montserrat"/>
        <w:color w:val="BC7D00"/>
      </w:rPr>
    </w:pPr>
    <w:r>
      <w:rPr>
        <w:noProof/>
        <w:color w:val="BC7D00"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23658" o:spid="_x0000_s2052" type="#_x0000_t75" style="position:absolute;margin-left:0;margin-top:0;width:639.45pt;height:826.75pt;z-index:-251656192;mso-position-horizontal:center;mso-position-horizontal-relative:margin;mso-position-vertical:center;mso-position-vertical-relative:margin" o:allowincell="f">
          <v:imagedata r:id="rId1" o:title="Marca de Agua 4t"/>
          <w10:wrap anchorx="margin" anchory="margin"/>
        </v:shape>
      </w:pict>
    </w:r>
    <w:r w:rsidR="00C80851" w:rsidRPr="006B1ACA">
      <w:rPr>
        <w:noProof/>
        <w:color w:val="BC7D00"/>
        <w:lang w:eastAsia="es-MX"/>
      </w:rPr>
      <w:drawing>
        <wp:anchor distT="0" distB="0" distL="114300" distR="114300" simplePos="0" relativeHeight="251657216" behindDoc="0" locked="0" layoutInCell="1" allowOverlap="1" wp14:anchorId="3B96668B" wp14:editId="13E8AD5A">
          <wp:simplePos x="0" y="0"/>
          <wp:positionH relativeFrom="column">
            <wp:posOffset>-130415</wp:posOffset>
          </wp:positionH>
          <wp:positionV relativeFrom="paragraph">
            <wp:posOffset>-130040</wp:posOffset>
          </wp:positionV>
          <wp:extent cx="2233868" cy="525780"/>
          <wp:effectExtent l="0" t="0" r="0" b="7620"/>
          <wp:wrapSquare wrapText="bothSides"/>
          <wp:docPr id="8" name="Imagen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67" t="12940" r="42032" b="15315"/>
                  <a:stretch/>
                </pic:blipFill>
                <pic:spPr bwMode="auto">
                  <a:xfrm>
                    <a:off x="0" y="0"/>
                    <a:ext cx="2233868" cy="5257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0851" w:rsidRPr="006B1ACA">
      <w:rPr>
        <w:rFonts w:ascii="Montserrat" w:hAnsi="Montserrat"/>
        <w:color w:val="BC7D00"/>
      </w:rPr>
      <w:t>Subsecretaria de Integración y Desarrollo del Sector Salud</w:t>
    </w:r>
  </w:p>
  <w:p w:rsidR="00C80851" w:rsidRDefault="00C80851" w:rsidP="00DB7F0A">
    <w:pPr>
      <w:pStyle w:val="Encabezado"/>
      <w:jc w:val="center"/>
      <w:rPr>
        <w:rFonts w:ascii="Montserrat" w:hAnsi="Montserrat"/>
        <w:color w:val="BC7D00"/>
      </w:rPr>
    </w:pPr>
    <w:r w:rsidRPr="006B1ACA">
      <w:rPr>
        <w:rFonts w:ascii="Montserrat" w:hAnsi="Montserrat"/>
        <w:color w:val="BC7D00"/>
      </w:rPr>
      <w:t>Dirección General de Información en Salud</w:t>
    </w:r>
  </w:p>
  <w:p w:rsidR="00C80851" w:rsidRDefault="00C8085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851" w:rsidRDefault="0050173E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23656" o:spid="_x0000_s2050" type="#_x0000_t75" style="position:absolute;margin-left:0;margin-top:0;width:639.45pt;height:826.75pt;z-index:-251658240;mso-position-horizontal:center;mso-position-horizontal-relative:margin;mso-position-vertical:center;mso-position-vertical-relative:margin" o:allowincell="f">
          <v:imagedata r:id="rId1" o:title="Marca de Agua 4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82108"/>
    <w:multiLevelType w:val="hybridMultilevel"/>
    <w:tmpl w:val="1062DC64"/>
    <w:lvl w:ilvl="0" w:tplc="50C4ED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A7AD7"/>
    <w:multiLevelType w:val="hybridMultilevel"/>
    <w:tmpl w:val="9360707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B09"/>
    <w:rsid w:val="00002A8D"/>
    <w:rsid w:val="00004D4A"/>
    <w:rsid w:val="00086208"/>
    <w:rsid w:val="00097019"/>
    <w:rsid w:val="000A67D0"/>
    <w:rsid w:val="00112BC6"/>
    <w:rsid w:val="00132157"/>
    <w:rsid w:val="00137DC3"/>
    <w:rsid w:val="00142B43"/>
    <w:rsid w:val="00181B73"/>
    <w:rsid w:val="00195E2B"/>
    <w:rsid w:val="00210F7F"/>
    <w:rsid w:val="00241380"/>
    <w:rsid w:val="00257FAA"/>
    <w:rsid w:val="00283948"/>
    <w:rsid w:val="002B12A1"/>
    <w:rsid w:val="0035280F"/>
    <w:rsid w:val="003561C0"/>
    <w:rsid w:val="003D5D9D"/>
    <w:rsid w:val="00432EDC"/>
    <w:rsid w:val="00460E27"/>
    <w:rsid w:val="00492741"/>
    <w:rsid w:val="004B61B8"/>
    <w:rsid w:val="0050173E"/>
    <w:rsid w:val="00512E8F"/>
    <w:rsid w:val="005605D3"/>
    <w:rsid w:val="00581295"/>
    <w:rsid w:val="005A022E"/>
    <w:rsid w:val="005C5944"/>
    <w:rsid w:val="005F2282"/>
    <w:rsid w:val="00603068"/>
    <w:rsid w:val="00612718"/>
    <w:rsid w:val="00673D49"/>
    <w:rsid w:val="006D5A31"/>
    <w:rsid w:val="0070320E"/>
    <w:rsid w:val="00731079"/>
    <w:rsid w:val="007B0EF4"/>
    <w:rsid w:val="008356E5"/>
    <w:rsid w:val="00893971"/>
    <w:rsid w:val="008E6FCD"/>
    <w:rsid w:val="00910F3F"/>
    <w:rsid w:val="00937610"/>
    <w:rsid w:val="00943B5B"/>
    <w:rsid w:val="00987CF5"/>
    <w:rsid w:val="0099106B"/>
    <w:rsid w:val="00A34AA2"/>
    <w:rsid w:val="00A95B5E"/>
    <w:rsid w:val="00AD7C09"/>
    <w:rsid w:val="00BB7697"/>
    <w:rsid w:val="00C2331A"/>
    <w:rsid w:val="00C52387"/>
    <w:rsid w:val="00C80851"/>
    <w:rsid w:val="00C879A5"/>
    <w:rsid w:val="00CC5C5B"/>
    <w:rsid w:val="00CD1275"/>
    <w:rsid w:val="00CF5FE4"/>
    <w:rsid w:val="00D126BD"/>
    <w:rsid w:val="00D678E4"/>
    <w:rsid w:val="00DB7F0A"/>
    <w:rsid w:val="00E04104"/>
    <w:rsid w:val="00E265FA"/>
    <w:rsid w:val="00E271AF"/>
    <w:rsid w:val="00E75950"/>
    <w:rsid w:val="00E91957"/>
    <w:rsid w:val="00EC3B34"/>
    <w:rsid w:val="00ED221E"/>
    <w:rsid w:val="00FD1B09"/>
    <w:rsid w:val="00FE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6AAEED18"/>
  <w15:chartTrackingRefBased/>
  <w15:docId w15:val="{13606432-8458-45D5-A02E-518326967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ayeliSalud">
    <w:name w:val="Nayeli Salud"/>
    <w:basedOn w:val="Normal"/>
    <w:link w:val="NayeliSaludCar"/>
    <w:qFormat/>
    <w:rsid w:val="00097019"/>
    <w:rPr>
      <w:rFonts w:ascii="Soberana Sans" w:hAnsi="Soberana Sans"/>
      <w:sz w:val="20"/>
    </w:rPr>
  </w:style>
  <w:style w:type="character" w:customStyle="1" w:styleId="NayeliSaludCar">
    <w:name w:val="Nayeli Salud Car"/>
    <w:basedOn w:val="Fuentedeprrafopredeter"/>
    <w:link w:val="NayeliSalud"/>
    <w:rsid w:val="00097019"/>
    <w:rPr>
      <w:rFonts w:ascii="Soberana Sans" w:hAnsi="Soberana Sans"/>
      <w:sz w:val="20"/>
    </w:rPr>
  </w:style>
  <w:style w:type="character" w:styleId="Hipervnculo">
    <w:name w:val="Hyperlink"/>
    <w:basedOn w:val="Fuentedeprrafopredeter"/>
    <w:uiPriority w:val="99"/>
    <w:unhideWhenUsed/>
    <w:rsid w:val="00731079"/>
    <w:rPr>
      <w:color w:val="CC9900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31079"/>
    <w:rPr>
      <w:color w:val="003300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3528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280F"/>
  </w:style>
  <w:style w:type="paragraph" w:styleId="Piedepgina">
    <w:name w:val="footer"/>
    <w:basedOn w:val="Normal"/>
    <w:link w:val="PiedepginaCar"/>
    <w:uiPriority w:val="99"/>
    <w:unhideWhenUsed/>
    <w:rsid w:val="003528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280F"/>
  </w:style>
  <w:style w:type="paragraph" w:styleId="Prrafodelista">
    <w:name w:val="List Paragraph"/>
    <w:basedOn w:val="Normal"/>
    <w:uiPriority w:val="34"/>
    <w:qFormat/>
    <w:rsid w:val="00DB7F0A"/>
    <w:pPr>
      <w:ind w:left="720"/>
      <w:contextualSpacing/>
    </w:pPr>
  </w:style>
  <w:style w:type="table" w:styleId="Tablaconcuadrcula">
    <w:name w:val="Table Grid"/>
    <w:basedOn w:val="Tablanormal"/>
    <w:uiPriority w:val="39"/>
    <w:rsid w:val="00C52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Gobierno Federal 4T">
      <a:dk1>
        <a:sysClr val="windowText" lastClr="000000"/>
      </a:dk1>
      <a:lt1>
        <a:sysClr val="window" lastClr="FFFFFF"/>
      </a:lt1>
      <a:dk2>
        <a:srgbClr val="621132"/>
      </a:dk2>
      <a:lt2>
        <a:srgbClr val="D4C19C"/>
      </a:lt2>
      <a:accent1>
        <a:srgbClr val="285C4D"/>
      </a:accent1>
      <a:accent2>
        <a:srgbClr val="9D2449"/>
      </a:accent2>
      <a:accent3>
        <a:srgbClr val="13322B"/>
      </a:accent3>
      <a:accent4>
        <a:srgbClr val="4E232E"/>
      </a:accent4>
      <a:accent5>
        <a:srgbClr val="D4C19C"/>
      </a:accent5>
      <a:accent6>
        <a:srgbClr val="56242A"/>
      </a:accent6>
      <a:hlink>
        <a:srgbClr val="CC9900"/>
      </a:hlink>
      <a:folHlink>
        <a:srgbClr val="00330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1933</Words>
  <Characters>10637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Nayeli Ortiz Juárez</dc:creator>
  <cp:keywords/>
  <dc:description/>
  <cp:lastModifiedBy>Nayeli Ortiz Juárez</cp:lastModifiedBy>
  <cp:revision>9</cp:revision>
  <dcterms:created xsi:type="dcterms:W3CDTF">2018-08-27T22:47:00Z</dcterms:created>
  <dcterms:modified xsi:type="dcterms:W3CDTF">2019-06-24T16:28:00Z</dcterms:modified>
</cp:coreProperties>
</file>