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EndPr>
        <w:rPr>
          <w:b/>
          <w:color w:val="9D2449" w:themeColor="accent2"/>
          <w:sz w:val="24"/>
        </w:rPr>
      </w:sdtEndPr>
      <w:sdtContent>
        <w:p w:rsidR="00982BB8" w:rsidRPr="00872857" w:rsidRDefault="00982BB8" w:rsidP="00982BB8">
          <w:pPr>
            <w:jc w:val="center"/>
            <w:rPr>
              <w:rFonts w:ascii="Montserrat" w:hAnsi="Montserrat"/>
            </w:rPr>
          </w:pPr>
        </w:p>
        <w:p w:rsidR="00F667FD" w:rsidRPr="00872857" w:rsidRDefault="00BD20F2" w:rsidP="00872857">
          <w:pPr>
            <w:rPr>
              <w:rFonts w:ascii="Montserrat" w:hAnsi="Montserrat"/>
            </w:rPr>
          </w:pPr>
          <w:r w:rsidRPr="00872857">
            <w:rPr>
              <w:rFonts w:ascii="Montserrat" w:hAnsi="Montserrat"/>
              <w:noProof/>
              <w:lang w:eastAsia="es-MX"/>
            </w:rPr>
            <mc:AlternateContent>
              <mc:Choice Requires="wps">
                <w:drawing>
                  <wp:anchor distT="0" distB="0" distL="114300" distR="114300" simplePos="0" relativeHeight="251676672" behindDoc="0" locked="0" layoutInCell="1" allowOverlap="1" wp14:anchorId="2AED1B17" wp14:editId="65350790">
                    <wp:simplePos x="0" y="0"/>
                    <wp:positionH relativeFrom="margin">
                      <wp:align>center</wp:align>
                    </wp:positionH>
                    <wp:positionV relativeFrom="paragraph">
                      <wp:posOffset>3124200</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C9717A" id="Rectángulo 23" o:spid="_x0000_s1026" style="position:absolute;margin-left:0;margin-top:246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" fillcolor="#b8985b [2408]" strokecolor="#b8985b [2408]" strokeweight="1pt">
                    <w10:wrap anchorx="margin"/>
                  </v:rect>
                </w:pict>
              </mc:Fallback>
            </mc:AlternateContent>
          </w:r>
          <w:r w:rsidRPr="00872857">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4005224F" wp14:editId="2001F70F">
                    <wp:simplePos x="0" y="0"/>
                    <wp:positionH relativeFrom="margin">
                      <wp:align>center</wp:align>
                    </wp:positionH>
                    <wp:positionV relativeFrom="paragraph">
                      <wp:posOffset>947420</wp:posOffset>
                    </wp:positionV>
                    <wp:extent cx="543306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3060" cy="1404620"/>
                            </a:xfrm>
                            <a:prstGeom prst="rect">
                              <a:avLst/>
                            </a:prstGeom>
                            <a:solidFill>
                              <a:srgbClr val="FFFFFF"/>
                            </a:solidFill>
                            <a:ln w="9525">
                              <a:noFill/>
                              <a:miter lim="800000"/>
                              <a:headEnd/>
                              <a:tailEnd/>
                            </a:ln>
                          </wps:spPr>
                          <wps:txbx>
                            <w:txbxContent>
                              <w:p w:rsidR="00182A18" w:rsidRPr="00E464AD" w:rsidRDefault="00182A18" w:rsidP="00931BB3">
                                <w:pPr>
                                  <w:jc w:val="center"/>
                                  <w:rPr>
                                    <w:rFonts w:ascii="Soberana Sans" w:hAnsi="Soberana Sans"/>
                                    <w:b/>
                                    <w:color w:val="13322B" w:themeColor="accent3"/>
                                    <w:sz w:val="40"/>
                                  </w:rPr>
                                </w:pPr>
                                <w:r w:rsidRPr="00E464AD">
                                  <w:rPr>
                                    <w:rFonts w:ascii="Soberana Sans" w:hAnsi="Soberana Sans"/>
                                    <w:b/>
                                    <w:color w:val="13322B" w:themeColor="accent3"/>
                                    <w:sz w:val="40"/>
                                  </w:rPr>
                                  <w:t xml:space="preserve">Manual para la Integración del Clasificador de los </w:t>
                                </w:r>
                                <w:r w:rsidR="00F56CF2" w:rsidRPr="00E464AD">
                                  <w:rPr>
                                    <w:rFonts w:ascii="Soberana Sans" w:hAnsi="Soberana Sans"/>
                                    <w:b/>
                                    <w:color w:val="13322B" w:themeColor="accent3"/>
                                    <w:sz w:val="40"/>
                                  </w:rPr>
                                  <w:t xml:space="preserve">Factores </w:t>
                                </w:r>
                                <w:r w:rsidRPr="00E464AD">
                                  <w:rPr>
                                    <w:rFonts w:ascii="Soberana Sans" w:hAnsi="Soberana Sans"/>
                                    <w:b/>
                                    <w:color w:val="13322B" w:themeColor="accent3"/>
                                    <w:sz w:val="40"/>
                                  </w:rPr>
                                  <w:t xml:space="preserve">de </w:t>
                                </w:r>
                                <w:r w:rsidR="00F56CF2" w:rsidRPr="00E464AD">
                                  <w:rPr>
                                    <w:rFonts w:ascii="Soberana Sans" w:hAnsi="Soberana Sans"/>
                                    <w:b/>
                                    <w:color w:val="13322B" w:themeColor="accent3"/>
                                    <w:sz w:val="40"/>
                                  </w:rPr>
                                  <w:t>Provisión de Salud</w:t>
                                </w:r>
                                <w:r w:rsidR="00BD20F2" w:rsidRPr="00E464AD">
                                  <w:rPr>
                                    <w:rFonts w:ascii="Soberana Sans" w:hAnsi="Soberana Sans"/>
                                    <w:b/>
                                    <w:color w:val="13322B" w:themeColor="accent3"/>
                                    <w:sz w:val="40"/>
                                  </w:rPr>
                                  <w:t xml:space="preserve"> en la Matriz de Gasto 2018</w:t>
                                </w:r>
                              </w:p>
                              <w:p w:rsidR="00182A18" w:rsidRDefault="00182A18" w:rsidP="00931BB3">
                                <w:pPr>
                                  <w:jc w:val="center"/>
                                  <w:rPr>
                                    <w:rFonts w:ascii="Soberana Sans" w:hAnsi="Soberana Sans"/>
                                    <w:b/>
                                    <w:color w:val="003300"/>
                                    <w:sz w:val="40"/>
                                  </w:rPr>
                                </w:pPr>
                              </w:p>
                              <w:p w:rsidR="00182A18" w:rsidRDefault="00182A18" w:rsidP="00931BB3">
                                <w:pPr>
                                  <w:jc w:val="center"/>
                                  <w:rPr>
                                    <w:rFonts w:ascii="Soberana Sans" w:hAnsi="Soberana Sans"/>
                                    <w:b/>
                                    <w:color w:val="003300"/>
                                    <w:sz w:val="40"/>
                                  </w:rPr>
                                </w:pPr>
                              </w:p>
                              <w:p w:rsidR="00BD20F2" w:rsidRDefault="00BD20F2" w:rsidP="00931BB3">
                                <w:pPr>
                                  <w:jc w:val="center"/>
                                  <w:rPr>
                                    <w:rFonts w:ascii="Soberana Sans" w:hAnsi="Soberana Sans"/>
                                    <w:b/>
                                    <w:color w:val="003300"/>
                                    <w:sz w:val="40"/>
                                  </w:rPr>
                                </w:pPr>
                              </w:p>
                              <w:p w:rsidR="00182A18" w:rsidRPr="00872857" w:rsidRDefault="00182A18" w:rsidP="00EB788A">
                                <w:pPr>
                                  <w:jc w:val="center"/>
                                  <w:rPr>
                                    <w:rFonts w:ascii="Soberana Sans" w:hAnsi="Soberana Sans"/>
                                    <w:b/>
                                    <w:color w:val="9D2449" w:themeColor="accent2"/>
                                    <w:sz w:val="40"/>
                                  </w:rPr>
                                </w:pPr>
                                <w:r w:rsidRPr="00872857">
                                  <w:rPr>
                                    <w:rFonts w:ascii="Soberana Sans" w:hAnsi="Soberana Sans"/>
                                    <w:b/>
                                    <w:color w:val="9D2449" w:themeColor="accent2"/>
                                    <w:sz w:val="40"/>
                                  </w:rPr>
                                  <w:t>Sistema de Cuentas en Salud a</w:t>
                                </w:r>
                              </w:p>
                              <w:p w:rsidR="00182A18" w:rsidRPr="00872857" w:rsidRDefault="00182A18" w:rsidP="00EB788A">
                                <w:pPr>
                                  <w:jc w:val="center"/>
                                  <w:rPr>
                                    <w:rFonts w:ascii="Soberana Sans" w:hAnsi="Soberana Sans"/>
                                    <w:b/>
                                    <w:color w:val="9D2449" w:themeColor="accent2"/>
                                    <w:sz w:val="40"/>
                                  </w:rPr>
                                </w:pPr>
                                <w:r w:rsidRPr="00872857">
                                  <w:rPr>
                                    <w:rFonts w:ascii="Soberana Sans" w:hAnsi="Soberana Sans"/>
                                    <w:b/>
                                    <w:color w:val="9D2449" w:themeColor="accent2"/>
                                    <w:sz w:val="40"/>
                                  </w:rPr>
                                  <w:t>Nivel Federal y Estatal</w:t>
                                </w:r>
                              </w:p>
                              <w:p w:rsidR="00182A18" w:rsidRPr="00872857" w:rsidRDefault="00182A18" w:rsidP="00EB788A">
                                <w:pPr>
                                  <w:jc w:val="center"/>
                                  <w:rPr>
                                    <w:rFonts w:ascii="Soberana Sans" w:hAnsi="Soberana Sans"/>
                                    <w:b/>
                                    <w:color w:val="9D2449" w:themeColor="accent2"/>
                                    <w:sz w:val="40"/>
                                  </w:rPr>
                                </w:pPr>
                                <w:r w:rsidRPr="00872857">
                                  <w:rPr>
                                    <w:rFonts w:ascii="Soberana Sans" w:hAnsi="Soberana Sans"/>
                                    <w:b/>
                                    <w:color w:val="9D2449" w:themeColor="accent2"/>
                                    <w:sz w:val="40"/>
                                  </w:rPr>
                                  <w:t>(SICUENTAS)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005224F" id="_x0000_t202" coordsize="21600,21600" o:spt="202" path="m,l,21600r21600,l21600,xe">
                    <v:stroke joinstyle="miter"/>
                    <v:path gradientshapeok="t" o:connecttype="rect"/>
                  </v:shapetype>
                  <v:shape id="Cuadro de texto 2" o:spid="_x0000_s1026" type="#_x0000_t202" style="position:absolute;margin-left:0;margin-top:74.6pt;width:427.8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" stroked="f">
                    <v:textbox style="mso-fit-shape-to-text:t">
                      <w:txbxContent>
                        <w:p w:rsidR="00182A18" w:rsidRPr="00E464AD" w:rsidRDefault="00182A18" w:rsidP="00931BB3">
                          <w:pPr>
                            <w:jc w:val="center"/>
                            <w:rPr>
                              <w:rFonts w:ascii="Soberana Sans" w:hAnsi="Soberana Sans"/>
                              <w:b/>
                              <w:color w:val="13322B" w:themeColor="accent3"/>
                              <w:sz w:val="40"/>
                            </w:rPr>
                          </w:pPr>
                          <w:r w:rsidRPr="00E464AD">
                            <w:rPr>
                              <w:rFonts w:ascii="Soberana Sans" w:hAnsi="Soberana Sans"/>
                              <w:b/>
                              <w:color w:val="13322B" w:themeColor="accent3"/>
                              <w:sz w:val="40"/>
                            </w:rPr>
                            <w:t xml:space="preserve">Manual para la Integración del Clasificador de los </w:t>
                          </w:r>
                          <w:r w:rsidR="00F56CF2" w:rsidRPr="00E464AD">
                            <w:rPr>
                              <w:rFonts w:ascii="Soberana Sans" w:hAnsi="Soberana Sans"/>
                              <w:b/>
                              <w:color w:val="13322B" w:themeColor="accent3"/>
                              <w:sz w:val="40"/>
                            </w:rPr>
                            <w:t xml:space="preserve">Factores </w:t>
                          </w:r>
                          <w:r w:rsidRPr="00E464AD">
                            <w:rPr>
                              <w:rFonts w:ascii="Soberana Sans" w:hAnsi="Soberana Sans"/>
                              <w:b/>
                              <w:color w:val="13322B" w:themeColor="accent3"/>
                              <w:sz w:val="40"/>
                            </w:rPr>
                            <w:t xml:space="preserve">de </w:t>
                          </w:r>
                          <w:r w:rsidR="00F56CF2" w:rsidRPr="00E464AD">
                            <w:rPr>
                              <w:rFonts w:ascii="Soberana Sans" w:hAnsi="Soberana Sans"/>
                              <w:b/>
                              <w:color w:val="13322B" w:themeColor="accent3"/>
                              <w:sz w:val="40"/>
                            </w:rPr>
                            <w:t>Provisión de Salud</w:t>
                          </w:r>
                          <w:r w:rsidR="00BD20F2" w:rsidRPr="00E464AD">
                            <w:rPr>
                              <w:rFonts w:ascii="Soberana Sans" w:hAnsi="Soberana Sans"/>
                              <w:b/>
                              <w:color w:val="13322B" w:themeColor="accent3"/>
                              <w:sz w:val="40"/>
                            </w:rPr>
                            <w:t xml:space="preserve"> en la Matriz de Gasto 2018</w:t>
                          </w:r>
                        </w:p>
                        <w:p w:rsidR="00182A18" w:rsidRDefault="00182A18" w:rsidP="00931BB3">
                          <w:pPr>
                            <w:jc w:val="center"/>
                            <w:rPr>
                              <w:rFonts w:ascii="Soberana Sans" w:hAnsi="Soberana Sans"/>
                              <w:b/>
                              <w:color w:val="003300"/>
                              <w:sz w:val="40"/>
                            </w:rPr>
                          </w:pPr>
                        </w:p>
                        <w:p w:rsidR="00182A18" w:rsidRDefault="00182A18" w:rsidP="00931BB3">
                          <w:pPr>
                            <w:jc w:val="center"/>
                            <w:rPr>
                              <w:rFonts w:ascii="Soberana Sans" w:hAnsi="Soberana Sans"/>
                              <w:b/>
                              <w:color w:val="003300"/>
                              <w:sz w:val="40"/>
                            </w:rPr>
                          </w:pPr>
                        </w:p>
                        <w:p w:rsidR="00BD20F2" w:rsidRDefault="00BD20F2" w:rsidP="00931BB3">
                          <w:pPr>
                            <w:jc w:val="center"/>
                            <w:rPr>
                              <w:rFonts w:ascii="Soberana Sans" w:hAnsi="Soberana Sans"/>
                              <w:b/>
                              <w:color w:val="003300"/>
                              <w:sz w:val="40"/>
                            </w:rPr>
                          </w:pPr>
                        </w:p>
                        <w:p w:rsidR="00182A18" w:rsidRPr="00872857" w:rsidRDefault="00182A18" w:rsidP="00EB788A">
                          <w:pPr>
                            <w:jc w:val="center"/>
                            <w:rPr>
                              <w:rFonts w:ascii="Soberana Sans" w:hAnsi="Soberana Sans"/>
                              <w:b/>
                              <w:color w:val="9D2449" w:themeColor="accent2"/>
                              <w:sz w:val="40"/>
                            </w:rPr>
                          </w:pPr>
                          <w:r w:rsidRPr="00872857">
                            <w:rPr>
                              <w:rFonts w:ascii="Soberana Sans" w:hAnsi="Soberana Sans"/>
                              <w:b/>
                              <w:color w:val="9D2449" w:themeColor="accent2"/>
                              <w:sz w:val="40"/>
                            </w:rPr>
                            <w:t>Sistema de Cuentas en Salud a</w:t>
                          </w:r>
                        </w:p>
                        <w:p w:rsidR="00182A18" w:rsidRPr="00872857" w:rsidRDefault="00182A18" w:rsidP="00EB788A">
                          <w:pPr>
                            <w:jc w:val="center"/>
                            <w:rPr>
                              <w:rFonts w:ascii="Soberana Sans" w:hAnsi="Soberana Sans"/>
                              <w:b/>
                              <w:color w:val="9D2449" w:themeColor="accent2"/>
                              <w:sz w:val="40"/>
                            </w:rPr>
                          </w:pPr>
                          <w:r w:rsidRPr="00872857">
                            <w:rPr>
                              <w:rFonts w:ascii="Soberana Sans" w:hAnsi="Soberana Sans"/>
                              <w:b/>
                              <w:color w:val="9D2449" w:themeColor="accent2"/>
                              <w:sz w:val="40"/>
                            </w:rPr>
                            <w:t>Nivel Federal y Estatal</w:t>
                          </w:r>
                        </w:p>
                        <w:p w:rsidR="00182A18" w:rsidRPr="00872857" w:rsidRDefault="00182A18" w:rsidP="00EB788A">
                          <w:pPr>
                            <w:jc w:val="center"/>
                            <w:rPr>
                              <w:rFonts w:ascii="Soberana Sans" w:hAnsi="Soberana Sans"/>
                              <w:b/>
                              <w:color w:val="9D2449" w:themeColor="accent2"/>
                              <w:sz w:val="40"/>
                            </w:rPr>
                          </w:pPr>
                          <w:r w:rsidRPr="00872857">
                            <w:rPr>
                              <w:rFonts w:ascii="Soberana Sans" w:hAnsi="Soberana Sans"/>
                              <w:b/>
                              <w:color w:val="9D2449" w:themeColor="accent2"/>
                              <w:sz w:val="40"/>
                            </w:rPr>
                            <w:t>(SICUENTAS)</w:t>
                          </w:r>
                        </w:p>
                      </w:txbxContent>
                    </v:textbox>
                    <w10:wrap type="square" anchorx="margin"/>
                  </v:shape>
                </w:pict>
              </mc:Fallback>
            </mc:AlternateContent>
          </w:r>
          <w:r w:rsidR="00982BB8" w:rsidRPr="00872857">
            <w:rPr>
              <w:rFonts w:ascii="Montserrat" w:hAnsi="Montserrat"/>
            </w:rPr>
            <w:br w:type="page"/>
          </w:r>
        </w:p>
        <w:p w:rsidR="00B0083E" w:rsidRPr="002F79A9" w:rsidRDefault="00F667FD" w:rsidP="00F667FD">
          <w:pPr>
            <w:pStyle w:val="Prrafodelista"/>
            <w:numPr>
              <w:ilvl w:val="0"/>
              <w:numId w:val="3"/>
            </w:numPr>
            <w:jc w:val="both"/>
            <w:rPr>
              <w:rFonts w:ascii="Montserrat" w:hAnsi="Montserrat"/>
              <w:b/>
              <w:color w:val="9D2449" w:themeColor="accent2"/>
              <w:sz w:val="24"/>
            </w:rPr>
          </w:pPr>
          <w:r w:rsidRPr="002F79A9">
            <w:rPr>
              <w:rFonts w:ascii="Montserrat" w:hAnsi="Montserrat"/>
              <w:b/>
              <w:color w:val="9D2449" w:themeColor="accent2"/>
              <w:sz w:val="24"/>
            </w:rPr>
            <w:lastRenderedPageBreak/>
            <w:t xml:space="preserve">Clasificación de los Factores de Provisión de Salud (ICHA-FP) </w:t>
          </w:r>
        </w:p>
      </w:sdtContent>
    </w:sdt>
    <w:p w:rsidR="00182A18" w:rsidRPr="00872857" w:rsidRDefault="00182A18" w:rsidP="00182A18">
      <w:pPr>
        <w:jc w:val="both"/>
        <w:rPr>
          <w:rFonts w:ascii="Montserrat" w:hAnsi="Montserrat"/>
        </w:rPr>
      </w:pPr>
    </w:p>
    <w:p w:rsidR="00455696" w:rsidRPr="00872857" w:rsidRDefault="0062335A" w:rsidP="00455696">
      <w:pPr>
        <w:jc w:val="both"/>
        <w:rPr>
          <w:rFonts w:ascii="Montserrat" w:hAnsi="Montserrat"/>
        </w:rPr>
      </w:pPr>
      <w:r w:rsidRPr="00872857">
        <w:rPr>
          <w:rFonts w:ascii="Montserrat" w:hAnsi="Montserrat"/>
        </w:rPr>
        <w:t>L</w:t>
      </w:r>
      <w:r w:rsidR="00455696" w:rsidRPr="00872857">
        <w:rPr>
          <w:rFonts w:ascii="Montserrat" w:hAnsi="Montserrat"/>
        </w:rPr>
        <w:t>os factores de provisión se definen como el v</w:t>
      </w:r>
      <w:r w:rsidRPr="00872857">
        <w:rPr>
          <w:rFonts w:ascii="Montserrat" w:hAnsi="Montserrat"/>
        </w:rPr>
        <w:t xml:space="preserve">alor de los insumos utilizados </w:t>
      </w:r>
      <w:r w:rsidR="00455696" w:rsidRPr="00872857">
        <w:rPr>
          <w:rFonts w:ascii="Montserrat" w:hAnsi="Montserrat"/>
        </w:rPr>
        <w:t>en el proceso de p</w:t>
      </w:r>
      <w:r w:rsidRPr="00872857">
        <w:rPr>
          <w:rFonts w:ascii="Montserrat" w:hAnsi="Montserrat"/>
        </w:rPr>
        <w:t>restación de servicios de salud</w:t>
      </w:r>
      <w:r w:rsidR="00455696" w:rsidRPr="00872857">
        <w:rPr>
          <w:rFonts w:ascii="Montserrat" w:hAnsi="Montserrat"/>
        </w:rPr>
        <w:t xml:space="preserve">. El límite </w:t>
      </w:r>
      <w:r w:rsidRPr="00872857">
        <w:rPr>
          <w:rFonts w:ascii="Montserrat" w:hAnsi="Montserrat"/>
        </w:rPr>
        <w:t>de lo que es servicios de salud</w:t>
      </w:r>
      <w:r w:rsidR="00455696" w:rsidRPr="00872857">
        <w:rPr>
          <w:rFonts w:ascii="Montserrat" w:hAnsi="Montserrat"/>
        </w:rPr>
        <w:t xml:space="preserve"> determina lo que se incluye como prestación de los mismos y por</w:t>
      </w:r>
      <w:r w:rsidRPr="00872857">
        <w:rPr>
          <w:rFonts w:ascii="Montserrat" w:hAnsi="Montserrat"/>
        </w:rPr>
        <w:t xml:space="preserve"> </w:t>
      </w:r>
      <w:r w:rsidR="00455696" w:rsidRPr="00872857">
        <w:rPr>
          <w:rFonts w:ascii="Montserrat" w:hAnsi="Montserrat"/>
        </w:rPr>
        <w:t>tanto los factores de provisión por proveedor. La provisión supone un conjunto de factores</w:t>
      </w:r>
      <w:r w:rsidRPr="00872857">
        <w:rPr>
          <w:rFonts w:ascii="Montserrat" w:hAnsi="Montserrat"/>
        </w:rPr>
        <w:t xml:space="preserve"> </w:t>
      </w:r>
      <w:r w:rsidR="00455696" w:rsidRPr="00872857">
        <w:rPr>
          <w:rFonts w:ascii="Montserrat" w:hAnsi="Montserrat"/>
        </w:rPr>
        <w:t>de producción: mano de obra, capital, materiales y servicios externos par</w:t>
      </w:r>
      <w:r w:rsidRPr="00872857">
        <w:rPr>
          <w:rFonts w:ascii="Montserrat" w:hAnsi="Montserrat"/>
        </w:rPr>
        <w:t xml:space="preserve">a prestar los bienes </w:t>
      </w:r>
      <w:r w:rsidR="00455696" w:rsidRPr="00872857">
        <w:rPr>
          <w:rFonts w:ascii="Montserrat" w:hAnsi="Montserrat"/>
        </w:rPr>
        <w:t>y servicios de salud. Se refiere no solo a los recursos espec</w:t>
      </w:r>
      <w:r w:rsidRPr="00872857">
        <w:rPr>
          <w:rFonts w:ascii="Montserrat" w:hAnsi="Montserrat"/>
        </w:rPr>
        <w:t xml:space="preserve">íficos de salud, sino también a </w:t>
      </w:r>
      <w:r w:rsidR="00455696" w:rsidRPr="00872857">
        <w:rPr>
          <w:rFonts w:ascii="Montserrat" w:hAnsi="Montserrat"/>
        </w:rPr>
        <w:t>insumos específicos no de salud necesarios para generarlos, todos ellos importantes en</w:t>
      </w:r>
      <w:r w:rsidRPr="00872857">
        <w:rPr>
          <w:rFonts w:ascii="Montserrat" w:hAnsi="Montserrat"/>
        </w:rPr>
        <w:t xml:space="preserve"> </w:t>
      </w:r>
      <w:r w:rsidR="00455696" w:rsidRPr="00872857">
        <w:rPr>
          <w:rFonts w:ascii="Montserrat" w:hAnsi="Montserrat"/>
        </w:rPr>
        <w:t>términos de eficiencia. Algunos ejemplos son:</w:t>
      </w:r>
    </w:p>
    <w:p w:rsidR="0037517C" w:rsidRPr="00872857" w:rsidRDefault="0037517C" w:rsidP="00455696">
      <w:pPr>
        <w:jc w:val="both"/>
        <w:rPr>
          <w:rFonts w:ascii="Montserrat" w:hAnsi="Montserrat"/>
        </w:rPr>
      </w:pPr>
    </w:p>
    <w:p w:rsidR="00960AD7" w:rsidRPr="00872857" w:rsidRDefault="00455696" w:rsidP="00455696">
      <w:pPr>
        <w:pStyle w:val="Prrafodelista"/>
        <w:numPr>
          <w:ilvl w:val="0"/>
          <w:numId w:val="4"/>
        </w:numPr>
        <w:jc w:val="both"/>
        <w:rPr>
          <w:rFonts w:ascii="Montserrat" w:hAnsi="Montserrat"/>
        </w:rPr>
      </w:pPr>
      <w:r w:rsidRPr="00872857">
        <w:rPr>
          <w:rFonts w:ascii="Montserrat" w:hAnsi="Montserrat"/>
        </w:rPr>
        <w:t>La mano de obra, el servicio de seguridad, mantenimiento y otros servicios;</w:t>
      </w:r>
    </w:p>
    <w:p w:rsidR="00960AD7" w:rsidRPr="00872857" w:rsidRDefault="00455696" w:rsidP="00455696">
      <w:pPr>
        <w:pStyle w:val="Prrafodelista"/>
        <w:numPr>
          <w:ilvl w:val="0"/>
          <w:numId w:val="4"/>
        </w:numPr>
        <w:jc w:val="both"/>
        <w:rPr>
          <w:rFonts w:ascii="Montserrat" w:hAnsi="Montserrat"/>
        </w:rPr>
      </w:pPr>
      <w:r w:rsidRPr="00872857">
        <w:rPr>
          <w:rFonts w:ascii="Montserrat" w:hAnsi="Montserrat"/>
        </w:rPr>
        <w:t>Capital consumido, incluidos edificios y equipos médicos y de oficina;</w:t>
      </w:r>
    </w:p>
    <w:p w:rsidR="00960AD7" w:rsidRPr="00872857" w:rsidRDefault="00455696" w:rsidP="00455696">
      <w:pPr>
        <w:pStyle w:val="Prrafodelista"/>
        <w:numPr>
          <w:ilvl w:val="0"/>
          <w:numId w:val="4"/>
        </w:numPr>
        <w:jc w:val="both"/>
        <w:rPr>
          <w:rFonts w:ascii="Montserrat" w:hAnsi="Montserrat"/>
        </w:rPr>
      </w:pPr>
      <w:r w:rsidRPr="00872857">
        <w:rPr>
          <w:rFonts w:ascii="Montserrat" w:hAnsi="Montserrat"/>
        </w:rPr>
        <w:t xml:space="preserve">Material médico como suturas, jeringuillas, así como otros insumos médicos </w:t>
      </w:r>
      <w:r w:rsidR="00BD20F2" w:rsidRPr="00872857">
        <w:rPr>
          <w:rFonts w:ascii="Montserrat" w:hAnsi="Montserrat"/>
        </w:rPr>
        <w:t>como electricidad</w:t>
      </w:r>
      <w:r w:rsidRPr="00872857">
        <w:rPr>
          <w:rFonts w:ascii="Montserrat" w:hAnsi="Montserrat"/>
        </w:rPr>
        <w:t>, agua y productos de limpieza;</w:t>
      </w:r>
    </w:p>
    <w:p w:rsidR="00455696" w:rsidRPr="00872857" w:rsidRDefault="00455696" w:rsidP="00455696">
      <w:pPr>
        <w:pStyle w:val="Prrafodelista"/>
        <w:numPr>
          <w:ilvl w:val="0"/>
          <w:numId w:val="4"/>
        </w:numPr>
        <w:jc w:val="both"/>
        <w:rPr>
          <w:rFonts w:ascii="Montserrat" w:hAnsi="Montserrat"/>
        </w:rPr>
      </w:pPr>
      <w:r w:rsidRPr="00872857">
        <w:rPr>
          <w:rFonts w:ascii="Montserrat" w:hAnsi="Montserrat"/>
        </w:rPr>
        <w:t>Servicios adquiridos externamente, que pueden incluir los servicios de laboratorio, los</w:t>
      </w:r>
      <w:r w:rsidR="00960AD7" w:rsidRPr="00872857">
        <w:rPr>
          <w:rFonts w:ascii="Montserrat" w:hAnsi="Montserrat"/>
        </w:rPr>
        <w:t xml:space="preserve"> </w:t>
      </w:r>
      <w:r w:rsidRPr="00872857">
        <w:rPr>
          <w:rFonts w:ascii="Montserrat" w:hAnsi="Montserrat"/>
        </w:rPr>
        <w:t>jurídicos y cualquier servicio contratado externamente como el servicio de comidas para</w:t>
      </w:r>
      <w:r w:rsidR="00960AD7" w:rsidRPr="00872857">
        <w:rPr>
          <w:rFonts w:ascii="Montserrat" w:hAnsi="Montserrat"/>
        </w:rPr>
        <w:t xml:space="preserve"> </w:t>
      </w:r>
      <w:r w:rsidRPr="00872857">
        <w:rPr>
          <w:rFonts w:ascii="Montserrat" w:hAnsi="Montserrat"/>
        </w:rPr>
        <w:t>los pacientes, limpieza, seguridad o mantenimiento de jardines, administración, etc.</w:t>
      </w:r>
    </w:p>
    <w:p w:rsidR="0037517C" w:rsidRPr="00872857" w:rsidRDefault="0037517C" w:rsidP="0037517C">
      <w:pPr>
        <w:pStyle w:val="Prrafodelista"/>
        <w:jc w:val="both"/>
        <w:rPr>
          <w:rFonts w:ascii="Montserrat" w:hAnsi="Montserrat"/>
        </w:rPr>
      </w:pPr>
    </w:p>
    <w:p w:rsidR="00455696" w:rsidRPr="00872857" w:rsidRDefault="00455696" w:rsidP="00960AD7">
      <w:pPr>
        <w:jc w:val="both"/>
        <w:rPr>
          <w:rFonts w:ascii="Montserrat" w:hAnsi="Montserrat"/>
        </w:rPr>
      </w:pPr>
      <w:r w:rsidRPr="00872857">
        <w:rPr>
          <w:rFonts w:ascii="Montserrat" w:hAnsi="Montserrat"/>
        </w:rPr>
        <w:t>Para realizar su actividad, los proveedores tienen que cu</w:t>
      </w:r>
      <w:r w:rsidR="00960AD7" w:rsidRPr="00872857">
        <w:rPr>
          <w:rFonts w:ascii="Montserrat" w:hAnsi="Montserrat"/>
        </w:rPr>
        <w:t xml:space="preserve">brir otros gastos, como el pago </w:t>
      </w:r>
      <w:r w:rsidRPr="00872857">
        <w:rPr>
          <w:rFonts w:ascii="Montserrat" w:hAnsi="Montserrat"/>
        </w:rPr>
        <w:t>de impuestos (por ejemplo, el IVA). Por tanto, la clasificaci</w:t>
      </w:r>
      <w:r w:rsidR="00960AD7" w:rsidRPr="00872857">
        <w:rPr>
          <w:rFonts w:ascii="Montserrat" w:hAnsi="Montserrat"/>
        </w:rPr>
        <w:t xml:space="preserve">ón de los factores de provisión recoge el </w:t>
      </w:r>
      <w:r w:rsidRPr="00872857">
        <w:rPr>
          <w:rFonts w:ascii="Montserrat" w:hAnsi="Montserrat"/>
        </w:rPr>
        <w:t>valor total de los recursos, en especie o en efectiv</w:t>
      </w:r>
      <w:r w:rsidR="00960AD7" w:rsidRPr="00872857">
        <w:rPr>
          <w:rFonts w:ascii="Montserrat" w:hAnsi="Montserrat"/>
        </w:rPr>
        <w:t xml:space="preserve">o, utilizados para la provisión </w:t>
      </w:r>
      <w:r w:rsidRPr="00872857">
        <w:rPr>
          <w:rFonts w:ascii="Montserrat" w:hAnsi="Montserrat"/>
        </w:rPr>
        <w:t>de bienes y servicios de salud. Esta suma es igual al val</w:t>
      </w:r>
      <w:r w:rsidR="00960AD7" w:rsidRPr="00872857">
        <w:rPr>
          <w:rFonts w:ascii="Montserrat" w:hAnsi="Montserrat"/>
        </w:rPr>
        <w:t xml:space="preserve">or a pagar a los proveedores de </w:t>
      </w:r>
      <w:r w:rsidRPr="00872857">
        <w:rPr>
          <w:rFonts w:ascii="Montserrat" w:hAnsi="Montserrat"/>
        </w:rPr>
        <w:t xml:space="preserve">servicios de salud por los esquemas de financiamiento por </w:t>
      </w:r>
      <w:r w:rsidR="00960AD7" w:rsidRPr="00872857">
        <w:rPr>
          <w:rFonts w:ascii="Montserrat" w:hAnsi="Montserrat"/>
        </w:rPr>
        <w:t xml:space="preserve">los bienes y servicios de salud </w:t>
      </w:r>
      <w:r w:rsidRPr="00872857">
        <w:rPr>
          <w:rFonts w:ascii="Montserrat" w:hAnsi="Montserrat"/>
        </w:rPr>
        <w:t>consumidos durante el período contable. El gasto en facto</w:t>
      </w:r>
      <w:r w:rsidR="0037517C" w:rsidRPr="00872857">
        <w:rPr>
          <w:rFonts w:ascii="Montserrat" w:hAnsi="Montserrat"/>
        </w:rPr>
        <w:t>res de provisión está delimitado</w:t>
      </w:r>
      <w:r w:rsidR="00960AD7" w:rsidRPr="00872857">
        <w:rPr>
          <w:rFonts w:ascii="Montserrat" w:hAnsi="Montserrat"/>
        </w:rPr>
        <w:t xml:space="preserve"> </w:t>
      </w:r>
      <w:r w:rsidRPr="00872857">
        <w:rPr>
          <w:rFonts w:ascii="Montserrat" w:hAnsi="Montserrat"/>
        </w:rPr>
        <w:t>al gasto corriente en la p</w:t>
      </w:r>
      <w:r w:rsidR="00960AD7" w:rsidRPr="00872857">
        <w:rPr>
          <w:rFonts w:ascii="Montserrat" w:hAnsi="Montserrat"/>
        </w:rPr>
        <w:t>rovisión de bienes y servicios</w:t>
      </w:r>
      <w:r w:rsidR="0037517C" w:rsidRPr="00872857">
        <w:rPr>
          <w:rFonts w:ascii="Montserrat" w:hAnsi="Montserrat"/>
        </w:rPr>
        <w:t xml:space="preserve"> (véase Cuadro No1)</w:t>
      </w:r>
      <w:r w:rsidR="00960AD7" w:rsidRPr="00872857">
        <w:rPr>
          <w:rFonts w:ascii="Montserrat" w:hAnsi="Montserrat"/>
        </w:rPr>
        <w:t>.</w:t>
      </w:r>
    </w:p>
    <w:p w:rsidR="002B4DA8" w:rsidRDefault="0037517C" w:rsidP="00960AD7">
      <w:pPr>
        <w:jc w:val="both"/>
        <w:rPr>
          <w:rFonts w:ascii="Montserrat" w:hAnsi="Montserrat"/>
        </w:rPr>
      </w:pPr>
      <w:r w:rsidRPr="00872857">
        <w:rPr>
          <w:rFonts w:ascii="Montserrat" w:hAnsi="Montserrat"/>
        </w:rPr>
        <w:t>Para realizar la integración de este clasificador tendremos que homologar</w:t>
      </w:r>
      <w:r w:rsidR="00F667FD" w:rsidRPr="00872857">
        <w:rPr>
          <w:rFonts w:ascii="Montserrat" w:hAnsi="Montserrat"/>
        </w:rPr>
        <w:t>lo</w:t>
      </w:r>
      <w:r w:rsidRPr="00872857">
        <w:rPr>
          <w:rFonts w:ascii="Montserrat" w:hAnsi="Montserrat"/>
        </w:rPr>
        <w:t xml:space="preserve"> con respecto al Clasificador por Objeto del Gasto </w:t>
      </w:r>
      <w:r w:rsidR="00F667FD" w:rsidRPr="00872857">
        <w:rPr>
          <w:rFonts w:ascii="Montserrat" w:hAnsi="Montserrat"/>
        </w:rPr>
        <w:t xml:space="preserve">ya que comparten el mismo enfoque de enumeración de bienes y servicios (factores) necesarios para el otorgamiento de bienes y servicios de salud. </w:t>
      </w:r>
    </w:p>
    <w:p w:rsidR="00F667FD" w:rsidRPr="00872857" w:rsidRDefault="00F667FD" w:rsidP="00960AD7">
      <w:pPr>
        <w:jc w:val="both"/>
        <w:rPr>
          <w:rFonts w:ascii="Montserrat" w:hAnsi="Montserrat"/>
        </w:rPr>
      </w:pPr>
      <w:r w:rsidRPr="00872857">
        <w:rPr>
          <w:rFonts w:ascii="Montserrat" w:hAnsi="Montserrat"/>
        </w:rPr>
        <w:t>A partir de las definiciones de ambos clasificadores</w:t>
      </w:r>
      <w:r w:rsidR="00402FED" w:rsidRPr="00872857">
        <w:rPr>
          <w:rFonts w:ascii="Montserrat" w:hAnsi="Montserrat"/>
        </w:rPr>
        <w:t xml:space="preserve"> se realizó</w:t>
      </w:r>
      <w:r w:rsidRPr="00872857">
        <w:rPr>
          <w:rFonts w:ascii="Montserrat" w:hAnsi="Montserrat"/>
        </w:rPr>
        <w:t xml:space="preserve"> la equivalencia, tal y como se muestra en el Cua</w:t>
      </w:r>
      <w:r w:rsidR="00402FED" w:rsidRPr="00872857">
        <w:rPr>
          <w:rFonts w:ascii="Montserrat" w:hAnsi="Montserrat"/>
        </w:rPr>
        <w:t>dro No 1</w:t>
      </w:r>
      <w:r w:rsidRPr="00872857">
        <w:rPr>
          <w:rFonts w:ascii="Montserrat" w:hAnsi="Montserrat"/>
        </w:rPr>
        <w:t>.</w:t>
      </w:r>
      <w:r w:rsidR="00402FED" w:rsidRPr="00872857">
        <w:rPr>
          <w:rFonts w:ascii="Montserrat" w:hAnsi="Montserrat"/>
        </w:rPr>
        <w:t xml:space="preserve"> </w:t>
      </w:r>
      <w:r w:rsidR="002B4DA8">
        <w:rPr>
          <w:rFonts w:ascii="Montserrat" w:hAnsi="Montserrat"/>
        </w:rPr>
        <w:t>Para utilizar el cuadro, hay que prestar especial atención si se trata de la equivalencia con un capítulo, concepto o partida, para poder aplicar los filtros correspondientes. Se tomará la codificación HF equivalente, y esta se colocará en las columnas AK – AM (Figura No. 1).</w:t>
      </w:r>
    </w:p>
    <w:p w:rsidR="00F667FD" w:rsidRPr="00872857" w:rsidRDefault="00F667FD" w:rsidP="00960AD7">
      <w:pPr>
        <w:jc w:val="both"/>
        <w:rPr>
          <w:rFonts w:ascii="Montserrat" w:hAnsi="Montserrat"/>
        </w:rPr>
      </w:pPr>
    </w:p>
    <w:p w:rsidR="00F667FD" w:rsidRPr="00872857" w:rsidRDefault="00F667FD" w:rsidP="00960AD7">
      <w:pPr>
        <w:jc w:val="both"/>
        <w:rPr>
          <w:rFonts w:ascii="Montserrat" w:hAnsi="Montserrat"/>
        </w:rPr>
      </w:pPr>
    </w:p>
    <w:p w:rsidR="00F667FD" w:rsidRPr="00872857" w:rsidRDefault="00F667FD" w:rsidP="00960AD7">
      <w:pPr>
        <w:jc w:val="both"/>
        <w:rPr>
          <w:rFonts w:ascii="Montserrat" w:hAnsi="Montserrat"/>
        </w:rPr>
      </w:pPr>
    </w:p>
    <w:p w:rsidR="0037517C" w:rsidRPr="00872857" w:rsidRDefault="0037517C" w:rsidP="00960AD7">
      <w:pPr>
        <w:jc w:val="both"/>
        <w:rPr>
          <w:rFonts w:ascii="Montserrat" w:hAnsi="Montserrat"/>
        </w:rPr>
      </w:pPr>
    </w:p>
    <w:p w:rsidR="00F36B59" w:rsidRPr="002B4DA8" w:rsidRDefault="00F36B59" w:rsidP="002B4DA8">
      <w:pPr>
        <w:jc w:val="center"/>
        <w:rPr>
          <w:rFonts w:ascii="Montserrat" w:hAnsi="Montserrat"/>
          <w:b/>
          <w:color w:val="B8985B" w:themeColor="accent5" w:themeShade="BF"/>
        </w:rPr>
      </w:pPr>
      <w:r w:rsidRPr="002B4DA8">
        <w:rPr>
          <w:rFonts w:ascii="Montserrat" w:hAnsi="Montserrat"/>
          <w:b/>
          <w:color w:val="B8985B" w:themeColor="accent5" w:themeShade="BF"/>
        </w:rPr>
        <w:t xml:space="preserve">Cuadro No 1: </w:t>
      </w:r>
      <w:r w:rsidR="00F56CF2" w:rsidRPr="002B4DA8">
        <w:rPr>
          <w:rFonts w:ascii="Montserrat" w:hAnsi="Montserrat"/>
          <w:b/>
          <w:color w:val="B8985B" w:themeColor="accent5" w:themeShade="BF"/>
        </w:rPr>
        <w:t>Homologación entre Clasificador de los Factores de Provisión y Clasificador por Objeto del Gasto</w:t>
      </w:r>
      <w:r w:rsidR="00872857" w:rsidRPr="002B4DA8">
        <w:rPr>
          <w:rFonts w:ascii="Montserrat" w:hAnsi="Montserrat"/>
          <w:b/>
          <w:color w:val="B8985B" w:themeColor="accent5" w:themeShade="BF"/>
        </w:rPr>
        <w:t xml:space="preserve"> (COG=FP)</w:t>
      </w:r>
    </w:p>
    <w:p w:rsidR="002B4DA8" w:rsidRDefault="002B4DA8" w:rsidP="00B0083E">
      <w:pPr>
        <w:jc w:val="both"/>
      </w:pPr>
      <w:r>
        <w:fldChar w:fldCharType="begin"/>
      </w:r>
      <w:r>
        <w:instrText xml:space="preserve"> LINK </w:instrText>
      </w:r>
      <w:r w:rsidR="00E464AD">
        <w:instrText xml:space="preserve">Excel.Sheet.12 "D:\\Nayeli.ortiz\\1. SICUENTAS\\2_Integración Información financiera\\a. Integración DGIS\\Ejercicio 2018\\g.Integración\\Catálogos\\Equivalencias_SESAS-2018.xlsx" COG=FP!F1C1:F28C7 </w:instrText>
      </w:r>
      <w:r>
        <w:instrText xml:space="preserve">\a \f 4 \h  \* MERGEFORMAT </w:instrText>
      </w:r>
      <w:r>
        <w:fldChar w:fldCharType="separate"/>
      </w:r>
    </w:p>
    <w:tbl>
      <w:tblPr>
        <w:tblW w:w="7721" w:type="dxa"/>
        <w:jc w:val="center"/>
        <w:tblCellMar>
          <w:left w:w="70" w:type="dxa"/>
          <w:right w:w="70" w:type="dxa"/>
        </w:tblCellMar>
        <w:tblLook w:val="04A0" w:firstRow="1" w:lastRow="0" w:firstColumn="1" w:lastColumn="0" w:noHBand="0" w:noVBand="1"/>
      </w:tblPr>
      <w:tblGrid>
        <w:gridCol w:w="1369"/>
        <w:gridCol w:w="1303"/>
        <w:gridCol w:w="1235"/>
        <w:gridCol w:w="925"/>
        <w:gridCol w:w="958"/>
        <w:gridCol w:w="957"/>
        <w:gridCol w:w="2349"/>
      </w:tblGrid>
      <w:tr w:rsidR="002B4DA8" w:rsidRPr="002B4DA8" w:rsidTr="002B4DA8">
        <w:trPr>
          <w:trHeight w:val="449"/>
          <w:jc w:val="center"/>
        </w:trPr>
        <w:tc>
          <w:tcPr>
            <w:tcW w:w="1121" w:type="dxa"/>
            <w:tcBorders>
              <w:top w:val="single" w:sz="4" w:space="0" w:color="auto"/>
              <w:left w:val="single" w:sz="4" w:space="0" w:color="FFFFFF"/>
              <w:bottom w:val="single" w:sz="4" w:space="0" w:color="auto"/>
              <w:right w:val="single" w:sz="4" w:space="0" w:color="FFFFFF"/>
            </w:tcBorders>
            <w:shd w:val="clear" w:color="000000" w:fill="13322B"/>
            <w:noWrap/>
            <w:vAlign w:val="center"/>
            <w:hideMark/>
          </w:tcPr>
          <w:p w:rsidR="002B4DA8" w:rsidRPr="002B4DA8" w:rsidRDefault="002B4DA8" w:rsidP="002B4DA8">
            <w:pPr>
              <w:spacing w:after="0" w:line="240" w:lineRule="auto"/>
              <w:jc w:val="center"/>
              <w:rPr>
                <w:rFonts w:ascii="Montserrat" w:eastAsia="Times New Roman" w:hAnsi="Montserrat" w:cs="Calibri"/>
                <w:color w:val="FFFFFF"/>
                <w:sz w:val="16"/>
                <w:szCs w:val="16"/>
                <w:lang w:eastAsia="es-MX"/>
              </w:rPr>
            </w:pPr>
            <w:proofErr w:type="spellStart"/>
            <w:r w:rsidRPr="002B4DA8">
              <w:rPr>
                <w:rFonts w:ascii="Montserrat" w:eastAsia="Times New Roman" w:hAnsi="Montserrat" w:cs="Calibri"/>
                <w:color w:val="FFFFFF"/>
                <w:sz w:val="16"/>
                <w:szCs w:val="16"/>
                <w:lang w:eastAsia="es-MX"/>
              </w:rPr>
              <w:t>Cve_Capítulo</w:t>
            </w:r>
            <w:proofErr w:type="spellEnd"/>
            <w:r w:rsidRPr="002B4DA8">
              <w:rPr>
                <w:rFonts w:ascii="Montserrat" w:eastAsia="Times New Roman" w:hAnsi="Montserrat" w:cs="Calibri"/>
                <w:color w:val="FFFFFF"/>
                <w:sz w:val="16"/>
                <w:szCs w:val="16"/>
                <w:lang w:eastAsia="es-MX"/>
              </w:rPr>
              <w:t xml:space="preserve"> </w:t>
            </w:r>
          </w:p>
        </w:tc>
        <w:tc>
          <w:tcPr>
            <w:tcW w:w="947" w:type="dxa"/>
            <w:tcBorders>
              <w:top w:val="single" w:sz="4" w:space="0" w:color="auto"/>
              <w:left w:val="nil"/>
              <w:bottom w:val="single" w:sz="4" w:space="0" w:color="auto"/>
              <w:right w:val="single" w:sz="4" w:space="0" w:color="FFFFFF"/>
            </w:tcBorders>
            <w:shd w:val="clear" w:color="000000" w:fill="13322B"/>
            <w:noWrap/>
            <w:vAlign w:val="center"/>
            <w:hideMark/>
          </w:tcPr>
          <w:p w:rsidR="002B4DA8" w:rsidRPr="002B4DA8" w:rsidRDefault="002B4DA8" w:rsidP="002B4DA8">
            <w:pPr>
              <w:spacing w:after="0" w:line="240" w:lineRule="auto"/>
              <w:jc w:val="center"/>
              <w:rPr>
                <w:rFonts w:ascii="Montserrat" w:eastAsia="Times New Roman" w:hAnsi="Montserrat" w:cs="Calibri"/>
                <w:color w:val="FFFFFF"/>
                <w:sz w:val="16"/>
                <w:szCs w:val="16"/>
                <w:lang w:eastAsia="es-MX"/>
              </w:rPr>
            </w:pPr>
            <w:proofErr w:type="spellStart"/>
            <w:r w:rsidRPr="002B4DA8">
              <w:rPr>
                <w:rFonts w:ascii="Montserrat" w:eastAsia="Times New Roman" w:hAnsi="Montserrat" w:cs="Calibri"/>
                <w:color w:val="FFFFFF"/>
                <w:sz w:val="16"/>
                <w:szCs w:val="16"/>
                <w:lang w:eastAsia="es-MX"/>
              </w:rPr>
              <w:t>Cve_Concepto</w:t>
            </w:r>
            <w:proofErr w:type="spellEnd"/>
            <w:r w:rsidRPr="002B4DA8">
              <w:rPr>
                <w:rFonts w:ascii="Montserrat" w:eastAsia="Times New Roman" w:hAnsi="Montserrat" w:cs="Calibri"/>
                <w:color w:val="FFFFFF"/>
                <w:sz w:val="16"/>
                <w:szCs w:val="16"/>
                <w:lang w:eastAsia="es-MX"/>
              </w:rPr>
              <w:t xml:space="preserve"> </w:t>
            </w:r>
          </w:p>
        </w:tc>
        <w:tc>
          <w:tcPr>
            <w:tcW w:w="1235" w:type="dxa"/>
            <w:tcBorders>
              <w:top w:val="single" w:sz="4" w:space="0" w:color="auto"/>
              <w:left w:val="nil"/>
              <w:bottom w:val="single" w:sz="4" w:space="0" w:color="auto"/>
              <w:right w:val="single" w:sz="4" w:space="0" w:color="FFFFFF"/>
            </w:tcBorders>
            <w:shd w:val="clear" w:color="000000" w:fill="13322B"/>
            <w:vAlign w:val="center"/>
            <w:hideMark/>
          </w:tcPr>
          <w:p w:rsidR="002B4DA8" w:rsidRPr="002B4DA8" w:rsidRDefault="002B4DA8" w:rsidP="002B4DA8">
            <w:pPr>
              <w:spacing w:after="0" w:line="240" w:lineRule="auto"/>
              <w:jc w:val="center"/>
              <w:rPr>
                <w:rFonts w:ascii="Montserrat" w:eastAsia="Times New Roman" w:hAnsi="Montserrat" w:cs="Calibri"/>
                <w:color w:val="FFFFFF"/>
                <w:sz w:val="16"/>
                <w:szCs w:val="16"/>
                <w:lang w:eastAsia="es-MX"/>
              </w:rPr>
            </w:pPr>
            <w:proofErr w:type="spellStart"/>
            <w:r w:rsidRPr="002B4DA8">
              <w:rPr>
                <w:rFonts w:ascii="Montserrat" w:eastAsia="Times New Roman" w:hAnsi="Montserrat" w:cs="Calibri"/>
                <w:color w:val="FFFFFF"/>
                <w:sz w:val="16"/>
                <w:szCs w:val="16"/>
                <w:lang w:eastAsia="es-MX"/>
              </w:rPr>
              <w:t>Cve_Partida</w:t>
            </w:r>
            <w:proofErr w:type="spellEnd"/>
            <w:r w:rsidRPr="002B4DA8">
              <w:rPr>
                <w:rFonts w:ascii="Montserrat" w:eastAsia="Times New Roman" w:hAnsi="Montserrat" w:cs="Calibri"/>
                <w:color w:val="FFFFFF"/>
                <w:sz w:val="16"/>
                <w:szCs w:val="16"/>
                <w:lang w:eastAsia="es-MX"/>
              </w:rPr>
              <w:t xml:space="preserve"> genérica </w:t>
            </w:r>
            <w:proofErr w:type="spellStart"/>
            <w:r w:rsidRPr="002B4DA8">
              <w:rPr>
                <w:rFonts w:ascii="Montserrat" w:eastAsia="Times New Roman" w:hAnsi="Montserrat" w:cs="Calibri"/>
                <w:color w:val="FFFFFF"/>
                <w:sz w:val="16"/>
                <w:szCs w:val="16"/>
                <w:lang w:eastAsia="es-MX"/>
              </w:rPr>
              <w:t>ó</w:t>
            </w:r>
            <w:proofErr w:type="spellEnd"/>
            <w:r w:rsidRPr="002B4DA8">
              <w:rPr>
                <w:rFonts w:ascii="Montserrat" w:eastAsia="Times New Roman" w:hAnsi="Montserrat" w:cs="Calibri"/>
                <w:color w:val="FFFFFF"/>
                <w:sz w:val="16"/>
                <w:szCs w:val="16"/>
                <w:lang w:eastAsia="es-MX"/>
              </w:rPr>
              <w:t xml:space="preserve"> partida específica</w:t>
            </w:r>
          </w:p>
        </w:tc>
        <w:tc>
          <w:tcPr>
            <w:tcW w:w="674" w:type="dxa"/>
            <w:tcBorders>
              <w:top w:val="single" w:sz="4" w:space="0" w:color="FFFFFF"/>
              <w:left w:val="nil"/>
              <w:bottom w:val="single" w:sz="4" w:space="0" w:color="auto"/>
              <w:right w:val="single" w:sz="4" w:space="0" w:color="FFFFFF"/>
            </w:tcBorders>
            <w:shd w:val="clear" w:color="000000" w:fill="7030A0"/>
            <w:vAlign w:val="center"/>
            <w:hideMark/>
          </w:tcPr>
          <w:p w:rsidR="002B4DA8" w:rsidRPr="002B4DA8" w:rsidRDefault="002B4DA8" w:rsidP="002B4DA8">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CveFP_D1</w:t>
            </w:r>
          </w:p>
        </w:tc>
        <w:tc>
          <w:tcPr>
            <w:tcW w:w="698" w:type="dxa"/>
            <w:tcBorders>
              <w:top w:val="single" w:sz="4" w:space="0" w:color="FFFFFF"/>
              <w:left w:val="nil"/>
              <w:bottom w:val="single" w:sz="4" w:space="0" w:color="auto"/>
              <w:right w:val="single" w:sz="4" w:space="0" w:color="FFFFFF"/>
            </w:tcBorders>
            <w:shd w:val="clear" w:color="000000" w:fill="7030A0"/>
            <w:vAlign w:val="center"/>
            <w:hideMark/>
          </w:tcPr>
          <w:p w:rsidR="002B4DA8" w:rsidRPr="002B4DA8" w:rsidRDefault="002B4DA8" w:rsidP="002B4DA8">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CveFP_D2</w:t>
            </w:r>
          </w:p>
        </w:tc>
        <w:tc>
          <w:tcPr>
            <w:tcW w:w="697" w:type="dxa"/>
            <w:tcBorders>
              <w:top w:val="single" w:sz="4" w:space="0" w:color="FFFFFF"/>
              <w:left w:val="nil"/>
              <w:bottom w:val="single" w:sz="4" w:space="0" w:color="auto"/>
              <w:right w:val="single" w:sz="4" w:space="0" w:color="FFFFFF"/>
            </w:tcBorders>
            <w:shd w:val="clear" w:color="000000" w:fill="7030A0"/>
            <w:vAlign w:val="center"/>
            <w:hideMark/>
          </w:tcPr>
          <w:p w:rsidR="002B4DA8" w:rsidRPr="002B4DA8" w:rsidRDefault="002B4DA8" w:rsidP="002B4DA8">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CveFP_D3</w:t>
            </w:r>
          </w:p>
        </w:tc>
        <w:tc>
          <w:tcPr>
            <w:tcW w:w="2349" w:type="dxa"/>
            <w:tcBorders>
              <w:top w:val="single" w:sz="4" w:space="0" w:color="FFFFFF"/>
              <w:left w:val="nil"/>
              <w:bottom w:val="single" w:sz="4" w:space="0" w:color="auto"/>
              <w:right w:val="single" w:sz="4" w:space="0" w:color="FFFFFF"/>
            </w:tcBorders>
            <w:shd w:val="clear" w:color="000000" w:fill="808080"/>
            <w:vAlign w:val="center"/>
            <w:hideMark/>
          </w:tcPr>
          <w:p w:rsidR="002B4DA8" w:rsidRPr="002B4DA8" w:rsidRDefault="002B4DA8" w:rsidP="002B4DA8">
            <w:pPr>
              <w:spacing w:after="0" w:line="240" w:lineRule="auto"/>
              <w:jc w:val="center"/>
              <w:rPr>
                <w:rFonts w:ascii="Montserrat" w:eastAsia="Times New Roman" w:hAnsi="Montserrat" w:cs="Calibri"/>
                <w:color w:val="FFFFFF"/>
                <w:sz w:val="16"/>
                <w:szCs w:val="16"/>
                <w:lang w:eastAsia="es-MX"/>
              </w:rPr>
            </w:pPr>
            <w:r w:rsidRPr="002B4DA8">
              <w:rPr>
                <w:rFonts w:ascii="Montserrat" w:eastAsia="Times New Roman" w:hAnsi="Montserrat" w:cs="Calibri"/>
                <w:color w:val="FFFFFF"/>
                <w:sz w:val="16"/>
                <w:szCs w:val="16"/>
                <w:lang w:eastAsia="es-MX"/>
              </w:rPr>
              <w:t>Descripción</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1100</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1200</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FP.1.1</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Sueldos y salarios</w:t>
            </w:r>
          </w:p>
        </w:tc>
      </w:tr>
      <w:tr w:rsidR="002B4DA8" w:rsidRPr="002B4DA8" w:rsidTr="002B4DA8">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1300</w:t>
            </w:r>
          </w:p>
        </w:tc>
        <w:tc>
          <w:tcPr>
            <w:tcW w:w="1235"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1400</w:t>
            </w:r>
          </w:p>
        </w:tc>
        <w:tc>
          <w:tcPr>
            <w:tcW w:w="1235"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w:t>
            </w:r>
          </w:p>
        </w:tc>
        <w:tc>
          <w:tcPr>
            <w:tcW w:w="698"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FP.1.2</w:t>
            </w:r>
          </w:p>
        </w:tc>
        <w:tc>
          <w:tcPr>
            <w:tcW w:w="69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Cotizaciones sociales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1500</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1600</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FP.1.3</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Todos los demás costos relativos a los asalariados </w:t>
            </w:r>
          </w:p>
        </w:tc>
      </w:tr>
      <w:tr w:rsidR="002B4DA8" w:rsidRPr="002B4DA8" w:rsidTr="002B4DA8">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1700</w:t>
            </w:r>
          </w:p>
        </w:tc>
        <w:tc>
          <w:tcPr>
            <w:tcW w:w="1235"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b/>
                <w:bCs/>
                <w:color w:val="000000"/>
                <w:sz w:val="16"/>
                <w:szCs w:val="16"/>
                <w:lang w:eastAsia="es-MX"/>
              </w:rPr>
            </w:pPr>
            <w:r w:rsidRPr="002B4DA8">
              <w:rPr>
                <w:rFonts w:ascii="Montserrat" w:eastAsia="Times New Roman" w:hAnsi="Montserrat" w:cs="Calibri"/>
                <w:b/>
                <w:bCs/>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b/>
                <w:bCs/>
                <w:color w:val="000000"/>
                <w:sz w:val="16"/>
                <w:szCs w:val="16"/>
                <w:lang w:eastAsia="es-MX"/>
              </w:rPr>
            </w:pPr>
            <w:r w:rsidRPr="002B4DA8">
              <w:rPr>
                <w:rFonts w:ascii="Montserrat" w:eastAsia="Times New Roman" w:hAnsi="Montserrat" w:cs="Calibri"/>
                <w:b/>
                <w:bCs/>
                <w:color w:val="000000"/>
                <w:sz w:val="16"/>
                <w:szCs w:val="16"/>
                <w:lang w:eastAsia="es-MX"/>
              </w:rPr>
              <w:t>3300</w:t>
            </w:r>
          </w:p>
        </w:tc>
        <w:tc>
          <w:tcPr>
            <w:tcW w:w="1235"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b/>
                <w:bCs/>
                <w:color w:val="000000"/>
                <w:sz w:val="16"/>
                <w:szCs w:val="16"/>
                <w:lang w:eastAsia="es-MX"/>
              </w:rPr>
            </w:pPr>
            <w:r w:rsidRPr="002B4DA8">
              <w:rPr>
                <w:rFonts w:ascii="Montserrat" w:eastAsia="Times New Roman" w:hAnsi="Montserrat" w:cs="Calibri"/>
                <w:b/>
                <w:bCs/>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b/>
                <w:bCs/>
                <w:color w:val="000000"/>
                <w:sz w:val="16"/>
                <w:szCs w:val="16"/>
                <w:lang w:eastAsia="es-MX"/>
              </w:rPr>
            </w:pPr>
            <w:r w:rsidRPr="002B4DA8">
              <w:rPr>
                <w:rFonts w:ascii="Montserrat" w:eastAsia="Times New Roman" w:hAnsi="Montserrat" w:cs="Calibri"/>
                <w:b/>
                <w:bCs/>
                <w:color w:val="000000"/>
                <w:sz w:val="16"/>
                <w:szCs w:val="16"/>
                <w:lang w:eastAsia="es-MX"/>
              </w:rPr>
              <w:t>FP.2</w:t>
            </w:r>
          </w:p>
        </w:tc>
        <w:tc>
          <w:tcPr>
            <w:tcW w:w="698"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b/>
                <w:bCs/>
                <w:color w:val="000000"/>
                <w:sz w:val="16"/>
                <w:szCs w:val="16"/>
                <w:lang w:eastAsia="es-MX"/>
              </w:rPr>
            </w:pPr>
            <w:r w:rsidRPr="002B4DA8">
              <w:rPr>
                <w:rFonts w:ascii="Montserrat" w:eastAsia="Times New Roman" w:hAnsi="Montserrat" w:cs="Calibri"/>
                <w:b/>
                <w:bCs/>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b/>
                <w:bCs/>
                <w:color w:val="000000"/>
                <w:sz w:val="16"/>
                <w:szCs w:val="16"/>
                <w:lang w:eastAsia="es-MX"/>
              </w:rPr>
            </w:pPr>
            <w:r w:rsidRPr="002B4DA8">
              <w:rPr>
                <w:rFonts w:ascii="Montserrat" w:eastAsia="Times New Roman" w:hAnsi="Montserrat" w:cs="Calibri"/>
                <w:b/>
                <w:bCs/>
                <w:color w:val="000000"/>
                <w:sz w:val="16"/>
                <w:szCs w:val="16"/>
                <w:lang w:eastAsia="es-MX"/>
              </w:rPr>
              <w:t>-</w:t>
            </w:r>
          </w:p>
        </w:tc>
        <w:tc>
          <w:tcPr>
            <w:tcW w:w="2349"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b/>
                <w:bCs/>
                <w:color w:val="000000"/>
                <w:sz w:val="16"/>
                <w:szCs w:val="16"/>
                <w:lang w:eastAsia="es-MX"/>
              </w:rPr>
            </w:pPr>
            <w:r w:rsidRPr="002B4DA8">
              <w:rPr>
                <w:rFonts w:ascii="Montserrat" w:eastAsia="Times New Roman" w:hAnsi="Montserrat" w:cs="Calibri"/>
                <w:b/>
                <w:bCs/>
                <w:color w:val="000000"/>
                <w:sz w:val="16"/>
                <w:szCs w:val="16"/>
                <w:lang w:eastAsia="es-MX"/>
              </w:rPr>
              <w:t>Remuneraciones de los profesionales autónomos</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Partidas</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2530</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FP.3.2</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FP.3.2.1 </w:t>
            </w:r>
          </w:p>
        </w:tc>
        <w:tc>
          <w:tcPr>
            <w:tcW w:w="2349"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Medicamentos e insumos farmacéuticos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2540</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2550</w:t>
            </w:r>
          </w:p>
        </w:tc>
        <w:tc>
          <w:tcPr>
            <w:tcW w:w="674"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5300</w:t>
            </w:r>
          </w:p>
        </w:tc>
        <w:tc>
          <w:tcPr>
            <w:tcW w:w="1235"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FP.3.2</w:t>
            </w:r>
          </w:p>
        </w:tc>
        <w:tc>
          <w:tcPr>
            <w:tcW w:w="69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FP.3.2.2</w:t>
            </w:r>
          </w:p>
        </w:tc>
        <w:tc>
          <w:tcPr>
            <w:tcW w:w="2349"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Otros bienes de salud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Capítulos</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406"/>
          <w:jc w:val="center"/>
        </w:trPr>
        <w:tc>
          <w:tcPr>
            <w:tcW w:w="1121" w:type="dxa"/>
            <w:tcBorders>
              <w:top w:val="nil"/>
              <w:left w:val="single" w:sz="4" w:space="0" w:color="003300"/>
              <w:bottom w:val="nil"/>
              <w:right w:val="single" w:sz="4" w:space="0" w:color="003300"/>
            </w:tcBorders>
            <w:shd w:val="clear" w:color="auto" w:fill="auto"/>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3000 </w:t>
            </w:r>
            <w:r w:rsidRPr="00F05C49">
              <w:rPr>
                <w:rFonts w:ascii="Montserrat" w:eastAsia="Times New Roman" w:hAnsi="Montserrat" w:cs="Calibri"/>
                <w:color w:val="FF0000"/>
                <w:sz w:val="16"/>
                <w:szCs w:val="16"/>
                <w:lang w:eastAsia="es-MX"/>
              </w:rPr>
              <w:t>(excepto 3300,3920,3930 y 3980)</w:t>
            </w:r>
          </w:p>
        </w:tc>
        <w:tc>
          <w:tcPr>
            <w:tcW w:w="947" w:type="dxa"/>
            <w:tcBorders>
              <w:top w:val="nil"/>
              <w:left w:val="nil"/>
              <w:bottom w:val="nil"/>
              <w:right w:val="single" w:sz="4" w:space="0" w:color="003300"/>
            </w:tcBorders>
            <w:shd w:val="clear" w:color="auto" w:fill="auto"/>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bottom"/>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nil"/>
              <w:right w:val="single" w:sz="4" w:space="0" w:color="003300"/>
            </w:tcBorders>
            <w:shd w:val="clear" w:color="auto" w:fill="auto"/>
            <w:noWrap/>
            <w:vAlign w:val="bottom"/>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FP.3.3</w:t>
            </w:r>
          </w:p>
        </w:tc>
        <w:tc>
          <w:tcPr>
            <w:tcW w:w="697" w:type="dxa"/>
            <w:tcBorders>
              <w:top w:val="nil"/>
              <w:left w:val="nil"/>
              <w:bottom w:val="nil"/>
              <w:right w:val="single" w:sz="4" w:space="0" w:color="003300"/>
            </w:tcBorders>
            <w:shd w:val="clear" w:color="auto" w:fill="auto"/>
            <w:noWrap/>
            <w:vAlign w:val="bottom"/>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bottom"/>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Servicios no de salud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4000</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7000</w:t>
            </w:r>
          </w:p>
        </w:tc>
        <w:tc>
          <w:tcPr>
            <w:tcW w:w="94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2000</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F05C49" w:rsidRDefault="002B4DA8" w:rsidP="002B4DA8">
            <w:pPr>
              <w:spacing w:after="0" w:line="240" w:lineRule="auto"/>
              <w:jc w:val="center"/>
              <w:rPr>
                <w:rFonts w:ascii="Montserrat" w:eastAsia="Times New Roman" w:hAnsi="Montserrat" w:cs="Calibri"/>
                <w:color w:val="FF0000"/>
                <w:sz w:val="16"/>
                <w:szCs w:val="16"/>
                <w:lang w:eastAsia="es-MX"/>
              </w:rPr>
            </w:pPr>
            <w:r w:rsidRPr="00F05C49">
              <w:rPr>
                <w:rFonts w:ascii="Montserrat" w:eastAsia="Times New Roman" w:hAnsi="Montserrat" w:cs="Calibri"/>
                <w:color w:val="FF0000"/>
                <w:sz w:val="16"/>
                <w:szCs w:val="16"/>
                <w:lang w:eastAsia="es-MX"/>
              </w:rPr>
              <w:t>Excepto</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FP.3.4</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Bienes no de salud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F05C49" w:rsidRDefault="002B4DA8" w:rsidP="002B4DA8">
            <w:pPr>
              <w:spacing w:after="0" w:line="240" w:lineRule="auto"/>
              <w:jc w:val="center"/>
              <w:rPr>
                <w:rFonts w:ascii="Montserrat" w:eastAsia="Times New Roman" w:hAnsi="Montserrat" w:cs="Calibri"/>
                <w:color w:val="FF0000"/>
                <w:sz w:val="16"/>
                <w:szCs w:val="16"/>
                <w:lang w:eastAsia="es-MX"/>
              </w:rPr>
            </w:pPr>
            <w:r w:rsidRPr="00F05C49">
              <w:rPr>
                <w:rFonts w:ascii="Montserrat" w:eastAsia="Times New Roman" w:hAnsi="Montserrat" w:cs="Calibri"/>
                <w:color w:val="FF0000"/>
                <w:sz w:val="16"/>
                <w:szCs w:val="16"/>
                <w:lang w:eastAsia="es-MX"/>
              </w:rPr>
              <w:t>(2530, 2540 y 2550)</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dashed" w:sz="4" w:space="0" w:color="003300"/>
              <w:left w:val="single" w:sz="4" w:space="0" w:color="003300"/>
              <w:bottom w:val="nil"/>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dashed" w:sz="4" w:space="0" w:color="003300"/>
              <w:left w:val="single" w:sz="4" w:space="0" w:color="003300"/>
              <w:bottom w:val="nil"/>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dashed" w:sz="4" w:space="0" w:color="003300"/>
              <w:left w:val="single" w:sz="4" w:space="0" w:color="003300"/>
              <w:bottom w:val="nil"/>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39201</w:t>
            </w:r>
          </w:p>
        </w:tc>
        <w:tc>
          <w:tcPr>
            <w:tcW w:w="674" w:type="dxa"/>
            <w:tcBorders>
              <w:top w:val="dashed" w:sz="4" w:space="0" w:color="003300"/>
              <w:left w:val="nil"/>
              <w:bottom w:val="nil"/>
              <w:right w:val="single" w:sz="4" w:space="0" w:color="auto"/>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dashed" w:sz="4" w:space="0" w:color="003300"/>
              <w:left w:val="nil"/>
              <w:bottom w:val="nil"/>
              <w:right w:val="single" w:sz="4" w:space="0" w:color="auto"/>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dashed" w:sz="4" w:space="0" w:color="003300"/>
              <w:left w:val="nil"/>
              <w:bottom w:val="nil"/>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auto"/>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nil"/>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single" w:sz="4" w:space="0" w:color="003300"/>
              <w:bottom w:val="nil"/>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single" w:sz="4" w:space="0" w:color="003300"/>
              <w:bottom w:val="nil"/>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39202</w:t>
            </w:r>
          </w:p>
        </w:tc>
        <w:tc>
          <w:tcPr>
            <w:tcW w:w="674" w:type="dxa"/>
            <w:tcBorders>
              <w:top w:val="nil"/>
              <w:left w:val="nil"/>
              <w:bottom w:val="nil"/>
              <w:right w:val="single" w:sz="4" w:space="0" w:color="auto"/>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w:t>
            </w:r>
          </w:p>
        </w:tc>
        <w:tc>
          <w:tcPr>
            <w:tcW w:w="698" w:type="dxa"/>
            <w:tcBorders>
              <w:top w:val="nil"/>
              <w:left w:val="nil"/>
              <w:bottom w:val="nil"/>
              <w:right w:val="single" w:sz="4" w:space="0" w:color="auto"/>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FP.5.1</w:t>
            </w:r>
          </w:p>
        </w:tc>
        <w:tc>
          <w:tcPr>
            <w:tcW w:w="697" w:type="dxa"/>
            <w:tcBorders>
              <w:top w:val="nil"/>
              <w:left w:val="nil"/>
              <w:bottom w:val="nil"/>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auto"/>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Impuestos </w:t>
            </w:r>
          </w:p>
        </w:tc>
      </w:tr>
      <w:tr w:rsidR="002B4DA8" w:rsidRPr="002B4DA8" w:rsidTr="002B4DA8">
        <w:trPr>
          <w:trHeight w:val="219"/>
          <w:jc w:val="center"/>
        </w:trPr>
        <w:tc>
          <w:tcPr>
            <w:tcW w:w="1121" w:type="dxa"/>
            <w:tcBorders>
              <w:top w:val="nil"/>
              <w:left w:val="single" w:sz="4" w:space="0" w:color="003300"/>
              <w:bottom w:val="nil"/>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single" w:sz="4" w:space="0" w:color="003300"/>
              <w:bottom w:val="nil"/>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single" w:sz="4" w:space="0" w:color="003300"/>
              <w:bottom w:val="nil"/>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3930</w:t>
            </w:r>
          </w:p>
        </w:tc>
        <w:tc>
          <w:tcPr>
            <w:tcW w:w="674" w:type="dxa"/>
            <w:tcBorders>
              <w:top w:val="nil"/>
              <w:left w:val="nil"/>
              <w:bottom w:val="nil"/>
              <w:right w:val="single" w:sz="4" w:space="0" w:color="auto"/>
            </w:tcBorders>
            <w:shd w:val="clear" w:color="auto" w:fill="auto"/>
            <w:noWrap/>
            <w:vAlign w:val="bottom"/>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auto"/>
            </w:tcBorders>
            <w:shd w:val="clear" w:color="auto" w:fill="auto"/>
            <w:noWrap/>
            <w:vAlign w:val="bottom"/>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auto"/>
            </w:tcBorders>
            <w:shd w:val="clear" w:color="auto" w:fill="auto"/>
            <w:noWrap/>
            <w:vAlign w:val="bottom"/>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auto"/>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dashed" w:sz="4" w:space="0" w:color="003300"/>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947" w:type="dxa"/>
            <w:tcBorders>
              <w:top w:val="nil"/>
              <w:left w:val="single" w:sz="4" w:space="0" w:color="003300"/>
              <w:bottom w:val="dashed" w:sz="4" w:space="0" w:color="003300"/>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single" w:sz="4" w:space="0" w:color="003300"/>
              <w:bottom w:val="dashed" w:sz="4" w:space="0" w:color="003300"/>
              <w:right w:val="single" w:sz="4" w:space="0" w:color="auto"/>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3980</w:t>
            </w:r>
          </w:p>
        </w:tc>
        <w:tc>
          <w:tcPr>
            <w:tcW w:w="674" w:type="dxa"/>
            <w:tcBorders>
              <w:top w:val="nil"/>
              <w:left w:val="nil"/>
              <w:bottom w:val="dashed" w:sz="4" w:space="0" w:color="003300"/>
              <w:right w:val="single" w:sz="4" w:space="0" w:color="auto"/>
            </w:tcBorders>
            <w:shd w:val="clear" w:color="auto" w:fill="auto"/>
            <w:noWrap/>
            <w:vAlign w:val="bottom"/>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dashed" w:sz="4" w:space="0" w:color="003300"/>
              <w:right w:val="single" w:sz="4" w:space="0" w:color="auto"/>
            </w:tcBorders>
            <w:shd w:val="clear" w:color="auto" w:fill="auto"/>
            <w:noWrap/>
            <w:vAlign w:val="bottom"/>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dashed" w:sz="4" w:space="0" w:color="003300"/>
              <w:right w:val="single" w:sz="4" w:space="0" w:color="auto"/>
            </w:tcBorders>
            <w:shd w:val="clear" w:color="auto" w:fill="auto"/>
            <w:noWrap/>
            <w:vAlign w:val="bottom"/>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dashed" w:sz="4" w:space="0" w:color="003300"/>
              <w:right w:val="single" w:sz="4" w:space="0" w:color="auto"/>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5000 (</w:t>
            </w:r>
            <w:r w:rsidR="00E464AD" w:rsidRPr="00F05C49">
              <w:rPr>
                <w:rFonts w:ascii="Montserrat" w:eastAsia="Times New Roman" w:hAnsi="Montserrat" w:cs="Calibri"/>
                <w:color w:val="FF0000"/>
                <w:sz w:val="16"/>
                <w:szCs w:val="16"/>
                <w:lang w:eastAsia="es-MX"/>
              </w:rPr>
              <w:t>Excepto</w:t>
            </w:r>
            <w:r w:rsidRPr="00F05C49">
              <w:rPr>
                <w:rFonts w:ascii="Montserrat" w:eastAsia="Times New Roman" w:hAnsi="Montserrat" w:cs="Calibri"/>
                <w:color w:val="FF0000"/>
                <w:sz w:val="16"/>
                <w:szCs w:val="16"/>
                <w:lang w:eastAsia="es-MX"/>
              </w:rPr>
              <w:t xml:space="preserve"> 5300</w:t>
            </w:r>
            <w:r w:rsidRPr="002B4DA8">
              <w:rPr>
                <w:rFonts w:ascii="Montserrat" w:eastAsia="Times New Roman" w:hAnsi="Montserrat" w:cs="Calibri"/>
                <w:color w:val="000000"/>
                <w:sz w:val="16"/>
                <w:szCs w:val="16"/>
                <w:lang w:eastAsia="es-MX"/>
              </w:rPr>
              <w:t>)</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nil"/>
              <w:right w:val="single" w:sz="4" w:space="0" w:color="003300"/>
            </w:tcBorders>
            <w:shd w:val="clear" w:color="auto" w:fill="auto"/>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r w:rsidR="002B4DA8" w:rsidRPr="002B4DA8" w:rsidTr="002B4DA8">
        <w:trPr>
          <w:trHeight w:val="219"/>
          <w:jc w:val="center"/>
        </w:trPr>
        <w:tc>
          <w:tcPr>
            <w:tcW w:w="1121" w:type="dxa"/>
            <w:tcBorders>
              <w:top w:val="nil"/>
              <w:left w:val="single" w:sz="4" w:space="0" w:color="003300"/>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6000</w:t>
            </w:r>
          </w:p>
        </w:tc>
        <w:tc>
          <w:tcPr>
            <w:tcW w:w="94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w:t>
            </w:r>
          </w:p>
        </w:tc>
        <w:tc>
          <w:tcPr>
            <w:tcW w:w="698"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FP.5.2</w:t>
            </w:r>
          </w:p>
        </w:tc>
        <w:tc>
          <w:tcPr>
            <w:tcW w:w="697" w:type="dxa"/>
            <w:tcBorders>
              <w:top w:val="nil"/>
              <w:left w:val="nil"/>
              <w:bottom w:val="nil"/>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w:t>
            </w:r>
          </w:p>
        </w:tc>
        <w:tc>
          <w:tcPr>
            <w:tcW w:w="2349" w:type="dxa"/>
            <w:tcBorders>
              <w:top w:val="nil"/>
              <w:left w:val="nil"/>
              <w:bottom w:val="nil"/>
              <w:right w:val="single" w:sz="4" w:space="0" w:color="003300"/>
            </w:tcBorders>
            <w:shd w:val="clear" w:color="auto" w:fill="auto"/>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xml:space="preserve">Otras partidas de gasto </w:t>
            </w:r>
          </w:p>
        </w:tc>
      </w:tr>
      <w:tr w:rsidR="002B4DA8" w:rsidRPr="002B4DA8" w:rsidTr="002B4DA8">
        <w:trPr>
          <w:trHeight w:val="219"/>
          <w:jc w:val="center"/>
        </w:trPr>
        <w:tc>
          <w:tcPr>
            <w:tcW w:w="1121" w:type="dxa"/>
            <w:tcBorders>
              <w:top w:val="nil"/>
              <w:left w:val="single" w:sz="4" w:space="0" w:color="003300"/>
              <w:bottom w:val="single"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9000</w:t>
            </w:r>
          </w:p>
        </w:tc>
        <w:tc>
          <w:tcPr>
            <w:tcW w:w="947" w:type="dxa"/>
            <w:tcBorders>
              <w:top w:val="nil"/>
              <w:left w:val="nil"/>
              <w:bottom w:val="single"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1235" w:type="dxa"/>
            <w:tcBorders>
              <w:top w:val="nil"/>
              <w:left w:val="nil"/>
              <w:bottom w:val="single"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74" w:type="dxa"/>
            <w:tcBorders>
              <w:top w:val="nil"/>
              <w:left w:val="nil"/>
              <w:bottom w:val="single"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8" w:type="dxa"/>
            <w:tcBorders>
              <w:top w:val="nil"/>
              <w:left w:val="nil"/>
              <w:bottom w:val="single" w:sz="4" w:space="0" w:color="003300"/>
              <w:right w:val="single" w:sz="4" w:space="0" w:color="003300"/>
            </w:tcBorders>
            <w:shd w:val="clear" w:color="auto" w:fill="auto"/>
            <w:noWrap/>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697" w:type="dxa"/>
            <w:tcBorders>
              <w:top w:val="nil"/>
              <w:left w:val="nil"/>
              <w:bottom w:val="single" w:sz="4" w:space="0" w:color="003300"/>
              <w:right w:val="single" w:sz="4" w:space="0" w:color="003300"/>
            </w:tcBorders>
            <w:shd w:val="clear" w:color="auto" w:fill="auto"/>
            <w:noWrap/>
            <w:vAlign w:val="center"/>
            <w:hideMark/>
          </w:tcPr>
          <w:p w:rsidR="002B4DA8" w:rsidRPr="002B4DA8" w:rsidRDefault="002B4DA8" w:rsidP="002B4DA8">
            <w:pPr>
              <w:spacing w:after="0" w:line="240" w:lineRule="auto"/>
              <w:jc w:val="center"/>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c>
          <w:tcPr>
            <w:tcW w:w="2349" w:type="dxa"/>
            <w:tcBorders>
              <w:top w:val="nil"/>
              <w:left w:val="nil"/>
              <w:bottom w:val="single" w:sz="4" w:space="0" w:color="003300"/>
              <w:right w:val="single" w:sz="4" w:space="0" w:color="003300"/>
            </w:tcBorders>
            <w:shd w:val="clear" w:color="auto" w:fill="auto"/>
            <w:vAlign w:val="center"/>
            <w:hideMark/>
          </w:tcPr>
          <w:p w:rsidR="002B4DA8" w:rsidRPr="002B4DA8" w:rsidRDefault="002B4DA8" w:rsidP="002B4DA8">
            <w:pPr>
              <w:spacing w:after="0" w:line="240" w:lineRule="auto"/>
              <w:rPr>
                <w:rFonts w:ascii="Montserrat" w:eastAsia="Times New Roman" w:hAnsi="Montserrat" w:cs="Calibri"/>
                <w:color w:val="000000"/>
                <w:sz w:val="16"/>
                <w:szCs w:val="16"/>
                <w:lang w:eastAsia="es-MX"/>
              </w:rPr>
            </w:pPr>
            <w:r w:rsidRPr="002B4DA8">
              <w:rPr>
                <w:rFonts w:ascii="Montserrat" w:eastAsia="Times New Roman" w:hAnsi="Montserrat" w:cs="Calibri"/>
                <w:color w:val="000000"/>
                <w:sz w:val="16"/>
                <w:szCs w:val="16"/>
                <w:lang w:eastAsia="es-MX"/>
              </w:rPr>
              <w:t> </w:t>
            </w:r>
          </w:p>
        </w:tc>
      </w:tr>
    </w:tbl>
    <w:p w:rsidR="002968A3" w:rsidRPr="00872857" w:rsidRDefault="002B4DA8" w:rsidP="00B0083E">
      <w:pPr>
        <w:jc w:val="both"/>
        <w:rPr>
          <w:rFonts w:ascii="Montserrat" w:hAnsi="Montserrat"/>
          <w:b/>
        </w:rPr>
      </w:pPr>
      <w:r>
        <w:rPr>
          <w:rFonts w:ascii="Montserrat" w:hAnsi="Montserrat"/>
          <w:b/>
        </w:rPr>
        <w:fldChar w:fldCharType="end"/>
      </w:r>
    </w:p>
    <w:p w:rsidR="002968A3" w:rsidRPr="00872857" w:rsidRDefault="002968A3" w:rsidP="00B0083E">
      <w:pPr>
        <w:jc w:val="both"/>
        <w:rPr>
          <w:rFonts w:ascii="Montserrat" w:hAnsi="Montserrat"/>
          <w:b/>
        </w:rPr>
      </w:pPr>
    </w:p>
    <w:p w:rsidR="00FA356D" w:rsidRDefault="00FA356D" w:rsidP="00B0083E">
      <w:pPr>
        <w:jc w:val="both"/>
        <w:rPr>
          <w:rFonts w:ascii="Montserrat" w:hAnsi="Montserrat"/>
          <w:b/>
        </w:rPr>
      </w:pPr>
      <w:bookmarkStart w:id="0" w:name="_GoBack"/>
      <w:bookmarkEnd w:id="0"/>
    </w:p>
    <w:p w:rsidR="002B4DA8" w:rsidRDefault="002B4DA8" w:rsidP="00B0083E">
      <w:pPr>
        <w:jc w:val="both"/>
        <w:rPr>
          <w:rFonts w:ascii="Montserrat" w:hAnsi="Montserrat"/>
          <w:b/>
        </w:rPr>
      </w:pPr>
    </w:p>
    <w:p w:rsidR="002B4DA8" w:rsidRDefault="002B4DA8" w:rsidP="00B0083E">
      <w:pPr>
        <w:jc w:val="both"/>
        <w:rPr>
          <w:rFonts w:ascii="Montserrat" w:hAnsi="Montserrat"/>
          <w:b/>
        </w:rPr>
      </w:pPr>
    </w:p>
    <w:p w:rsidR="002B4DA8" w:rsidRPr="00872857" w:rsidRDefault="002B4DA8" w:rsidP="00B0083E">
      <w:pPr>
        <w:jc w:val="both"/>
        <w:rPr>
          <w:rFonts w:ascii="Montserrat" w:hAnsi="Montserrat"/>
          <w:b/>
        </w:rPr>
      </w:pPr>
    </w:p>
    <w:p w:rsidR="00E64FDC" w:rsidRPr="00872857" w:rsidRDefault="00E64FDC" w:rsidP="00F56CF2">
      <w:pPr>
        <w:jc w:val="center"/>
        <w:rPr>
          <w:rFonts w:ascii="Montserrat" w:hAnsi="Montserrat"/>
          <w:b/>
          <w:sz w:val="24"/>
        </w:rPr>
      </w:pPr>
    </w:p>
    <w:p w:rsidR="00F56CF2" w:rsidRPr="002F79A9" w:rsidRDefault="00F56CF2" w:rsidP="00F56CF2">
      <w:pPr>
        <w:jc w:val="center"/>
        <w:rPr>
          <w:rFonts w:ascii="Montserrat" w:hAnsi="Montserrat"/>
          <w:b/>
          <w:color w:val="B8985B" w:themeColor="accent5" w:themeShade="BF"/>
        </w:rPr>
      </w:pPr>
      <w:r w:rsidRPr="002F79A9">
        <w:rPr>
          <w:rFonts w:ascii="Montserrat" w:hAnsi="Montserrat"/>
          <w:b/>
          <w:color w:val="B8985B" w:themeColor="accent5" w:themeShade="BF"/>
        </w:rPr>
        <w:lastRenderedPageBreak/>
        <w:t xml:space="preserve">Figura No 1: Integración del Clasificador de los Factores de </w:t>
      </w:r>
    </w:p>
    <w:p w:rsidR="00F56CF2" w:rsidRPr="002F79A9" w:rsidRDefault="00F56CF2" w:rsidP="00F56CF2">
      <w:pPr>
        <w:jc w:val="center"/>
        <w:rPr>
          <w:rFonts w:ascii="Montserrat" w:hAnsi="Montserrat"/>
          <w:b/>
          <w:color w:val="B8985B" w:themeColor="accent5" w:themeShade="BF"/>
        </w:rPr>
      </w:pPr>
      <w:r w:rsidRPr="002F79A9">
        <w:rPr>
          <w:rFonts w:ascii="Montserrat" w:hAnsi="Montserrat"/>
          <w:b/>
          <w:color w:val="B8985B" w:themeColor="accent5" w:themeShade="BF"/>
        </w:rPr>
        <w:t xml:space="preserve">Provisión en </w:t>
      </w:r>
      <w:r w:rsidR="00BD20F2">
        <w:rPr>
          <w:rFonts w:ascii="Montserrat" w:hAnsi="Montserrat"/>
          <w:b/>
          <w:color w:val="B8985B" w:themeColor="accent5" w:themeShade="BF"/>
        </w:rPr>
        <w:t>la Matriz de Gasto</w:t>
      </w:r>
    </w:p>
    <w:p w:rsidR="002F79A9" w:rsidRPr="002B4DA8" w:rsidRDefault="00E464AD" w:rsidP="00F56CF2">
      <w:pPr>
        <w:jc w:val="center"/>
        <w:rPr>
          <w:rFonts w:ascii="Montserrat" w:hAnsi="Montserrat"/>
          <w:b/>
          <w:color w:val="B8985B" w:themeColor="accent5" w:themeShade="BF"/>
          <w:sz w:val="24"/>
        </w:rPr>
      </w:pPr>
      <w:r>
        <w:rPr>
          <w:rFonts w:ascii="Montserrat" w:hAnsi="Montserrat"/>
          <w:noProof/>
          <w:lang w:eastAsia="es-MX"/>
        </w:rPr>
        <mc:AlternateContent>
          <mc:Choice Requires="wps">
            <w:drawing>
              <wp:anchor distT="0" distB="0" distL="114300" distR="114300" simplePos="0" relativeHeight="251680768" behindDoc="0" locked="0" layoutInCell="1" allowOverlap="1" wp14:anchorId="5996A528" wp14:editId="034AD331">
                <wp:simplePos x="0" y="0"/>
                <wp:positionH relativeFrom="column">
                  <wp:posOffset>5762625</wp:posOffset>
                </wp:positionH>
                <wp:positionV relativeFrom="paragraph">
                  <wp:posOffset>4560570</wp:posOffset>
                </wp:positionV>
                <wp:extent cx="352425" cy="1628775"/>
                <wp:effectExtent l="19050" t="0" r="28575" b="47625"/>
                <wp:wrapNone/>
                <wp:docPr id="5" name="Flecha curvada hacia la izquierda 5"/>
                <wp:cNvGraphicFramePr/>
                <a:graphic xmlns:a="http://schemas.openxmlformats.org/drawingml/2006/main">
                  <a:graphicData uri="http://schemas.microsoft.com/office/word/2010/wordprocessingShape">
                    <wps:wsp>
                      <wps:cNvSpPr/>
                      <wps:spPr>
                        <a:xfrm>
                          <a:off x="0" y="0"/>
                          <a:ext cx="352425" cy="1628775"/>
                        </a:xfrm>
                        <a:prstGeom prst="curvedLeftArrow">
                          <a:avLst>
                            <a:gd name="adj1" fmla="val 25000"/>
                            <a:gd name="adj2" fmla="val 107211"/>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3F6DD5"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Flecha curvada hacia la izquierda 5" o:spid="_x0000_s1026" type="#_x0000_t103" style="position:absolute;margin-left:453.75pt;margin-top:359.1pt;width:27.75pt;height:12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" adj="16589,19679,5400" fillcolor="#285c4d [3204]" strokecolor="#142d26 [1604]" strokeweight="1pt"/>
            </w:pict>
          </mc:Fallback>
        </mc:AlternateContent>
      </w:r>
      <w:r w:rsidRPr="00AF48BF">
        <w:rPr>
          <w:rFonts w:ascii="Montserrat" w:hAnsi="Montserrat"/>
          <w:noProof/>
          <w:lang w:eastAsia="es-MX"/>
        </w:rPr>
        <mc:AlternateContent>
          <mc:Choice Requires="wps">
            <w:drawing>
              <wp:anchor distT="0" distB="0" distL="114300" distR="114300" simplePos="0" relativeHeight="251678720" behindDoc="0" locked="0" layoutInCell="1" allowOverlap="1" wp14:anchorId="74161B84" wp14:editId="0F2A9CEE">
                <wp:simplePos x="0" y="0"/>
                <wp:positionH relativeFrom="column">
                  <wp:posOffset>571500</wp:posOffset>
                </wp:positionH>
                <wp:positionV relativeFrom="paragraph">
                  <wp:posOffset>1337536</wp:posOffset>
                </wp:positionV>
                <wp:extent cx="533400" cy="1594485"/>
                <wp:effectExtent l="190500" t="0" r="419100" b="0"/>
                <wp:wrapNone/>
                <wp:docPr id="3" name="Flecha curvada hacia la derecha 3"/>
                <wp:cNvGraphicFramePr/>
                <a:graphic xmlns:a="http://schemas.openxmlformats.org/drawingml/2006/main">
                  <a:graphicData uri="http://schemas.microsoft.com/office/word/2010/wordprocessingShape">
                    <wps:wsp>
                      <wps:cNvSpPr/>
                      <wps:spPr>
                        <a:xfrm rot="2222500">
                          <a:off x="0" y="0"/>
                          <a:ext cx="533400" cy="1594485"/>
                        </a:xfrm>
                        <a:prstGeom prst="curvedRightArrow">
                          <a:avLst>
                            <a:gd name="adj1" fmla="val 25000"/>
                            <a:gd name="adj2" fmla="val 50000"/>
                            <a:gd name="adj3" fmla="val 51403"/>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BA70BA2"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Flecha curvada hacia la derecha 3" o:spid="_x0000_s1026" type="#_x0000_t102" style="position:absolute;margin-left:45pt;margin-top:105.3pt;width:42pt;height:125.55pt;rotation:2427563fd;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" adj="17987,20697,10497" fillcolor="#56242a [3209]" strokecolor="#2a1214 [1609]" strokeweight="1pt"/>
            </w:pict>
          </mc:Fallback>
        </mc:AlternateContent>
      </w:r>
      <w:r>
        <w:rPr>
          <w:noProof/>
          <w:lang w:eastAsia="es-MX"/>
        </w:rPr>
        <w:drawing>
          <wp:inline distT="0" distB="0" distL="0" distR="0" wp14:anchorId="70D3013E" wp14:editId="69E39CDC">
            <wp:extent cx="2786332" cy="1939873"/>
            <wp:effectExtent l="323850" t="323850" r="319405" b="32766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3101" t="17681" r="31871" b="38963"/>
                    <a:stretch/>
                  </pic:blipFill>
                  <pic:spPr bwMode="auto">
                    <a:xfrm>
                      <a:off x="0" y="0"/>
                      <a:ext cx="2830234" cy="1970438"/>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r>
        <w:rPr>
          <w:noProof/>
          <w:lang w:eastAsia="es-MX"/>
        </w:rPr>
        <w:drawing>
          <wp:inline distT="0" distB="0" distL="0" distR="0" wp14:anchorId="5C058F25" wp14:editId="5C515582">
            <wp:extent cx="6181503" cy="1337094"/>
            <wp:effectExtent l="323850" t="323850" r="314960" b="3206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259454" cy="135395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r>
        <w:rPr>
          <w:noProof/>
          <w:lang w:eastAsia="es-MX"/>
        </w:rPr>
        <w:drawing>
          <wp:inline distT="0" distB="0" distL="0" distR="0" wp14:anchorId="374A389D" wp14:editId="356AB774">
            <wp:extent cx="4267200" cy="2432443"/>
            <wp:effectExtent l="304800" t="323850" r="323850" b="33020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98603" cy="2450344"/>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402FED" w:rsidRPr="005E097A" w:rsidRDefault="002F79A9" w:rsidP="00FA356D">
      <w:pPr>
        <w:pStyle w:val="Prrafodelista"/>
        <w:numPr>
          <w:ilvl w:val="0"/>
          <w:numId w:val="3"/>
        </w:numPr>
        <w:jc w:val="both"/>
        <w:rPr>
          <w:rFonts w:ascii="Montserrat" w:hAnsi="Montserrat"/>
          <w:b/>
          <w:color w:val="9D2449" w:themeColor="accent2"/>
          <w:sz w:val="24"/>
        </w:rPr>
      </w:pPr>
      <w:r w:rsidRPr="002F79A9">
        <w:rPr>
          <w:rFonts w:ascii="Montserrat" w:hAnsi="Montserrat"/>
          <w:b/>
          <w:color w:val="9D2449" w:themeColor="accent2"/>
          <w:sz w:val="24"/>
        </w:rPr>
        <w:lastRenderedPageBreak/>
        <w:t xml:space="preserve">Glosario </w:t>
      </w:r>
    </w:p>
    <w:p w:rsidR="00FA356D" w:rsidRPr="00872857" w:rsidRDefault="00FA356D" w:rsidP="00FA356D">
      <w:pPr>
        <w:jc w:val="both"/>
        <w:rPr>
          <w:rFonts w:ascii="Montserrat" w:hAnsi="Montserrat"/>
          <w:b/>
        </w:rPr>
      </w:pPr>
      <w:r w:rsidRPr="00872857">
        <w:rPr>
          <w:rFonts w:ascii="Montserrat" w:hAnsi="Montserrat"/>
          <w:b/>
        </w:rPr>
        <w:t>FP.1.1 Sueld</w:t>
      </w:r>
      <w:r w:rsidR="006B3184" w:rsidRPr="00872857">
        <w:rPr>
          <w:rFonts w:ascii="Montserrat" w:hAnsi="Montserrat"/>
          <w:b/>
        </w:rPr>
        <w:t>os y salarios</w:t>
      </w:r>
    </w:p>
    <w:p w:rsidR="00FA356D" w:rsidRPr="00872857" w:rsidRDefault="00FA356D" w:rsidP="00FA356D">
      <w:pPr>
        <w:jc w:val="both"/>
        <w:rPr>
          <w:rFonts w:ascii="Montserrat" w:hAnsi="Montserrat"/>
        </w:rPr>
      </w:pPr>
      <w:r w:rsidRPr="00872857">
        <w:rPr>
          <w:rFonts w:ascii="Montserrat" w:hAnsi="Montserrat"/>
        </w:rPr>
        <w:t>Los sueldos y salarios de los asalariados incluyen la remuneración tanto en efectivo como en especie, bien por determinados períodos, por trabajo realizado, horas extra, turno de noche, fines de semana o durante otras horas fuera del horario normal, complementos por trabajar fuera de casa, en circunstancias peligrosas o desagradables, o complementos relacionados con la vivienda, trabajo o prestaciones por enfermedad, bonificaciones, comisiones, gratificaciones y la prestación en especie de bienes y servicios necesarios para realizar su trabajo, como comidas y</w:t>
      </w:r>
      <w:r w:rsidR="006B3184" w:rsidRPr="00872857">
        <w:rPr>
          <w:rFonts w:ascii="Montserrat" w:hAnsi="Montserrat"/>
        </w:rPr>
        <w:t xml:space="preserve"> bebidas, uniformes y transporte.</w:t>
      </w:r>
    </w:p>
    <w:p w:rsidR="006B3184" w:rsidRPr="00872857" w:rsidRDefault="006B3184" w:rsidP="00FA356D">
      <w:pPr>
        <w:jc w:val="both"/>
        <w:rPr>
          <w:rFonts w:ascii="Montserrat" w:hAnsi="Montserrat"/>
        </w:rPr>
      </w:pPr>
    </w:p>
    <w:p w:rsidR="006B3184" w:rsidRPr="00872857" w:rsidRDefault="006B3184" w:rsidP="006B3184">
      <w:pPr>
        <w:jc w:val="both"/>
        <w:rPr>
          <w:rFonts w:ascii="Montserrat" w:hAnsi="Montserrat"/>
          <w:b/>
        </w:rPr>
      </w:pPr>
      <w:r w:rsidRPr="00872857">
        <w:rPr>
          <w:rFonts w:ascii="Montserrat" w:hAnsi="Montserrat"/>
          <w:b/>
        </w:rPr>
        <w:t>FP.1.2 Cotizaciones sociales</w:t>
      </w:r>
    </w:p>
    <w:p w:rsidR="006B3184" w:rsidRPr="00872857" w:rsidRDefault="006B3184" w:rsidP="006B3184">
      <w:pPr>
        <w:jc w:val="both"/>
        <w:rPr>
          <w:rFonts w:ascii="Montserrat" w:hAnsi="Montserrat"/>
        </w:rPr>
      </w:pPr>
      <w:r w:rsidRPr="00872857">
        <w:rPr>
          <w:rFonts w:ascii="Montserrat" w:hAnsi="Montserrat"/>
        </w:rPr>
        <w:t>Las cotizaciones sociales son pagos, vigentes o imputados, a los regímenes del seguro social para que los asalariados tengan derecho a las prestaciones sociales, incluidas las pensiones y otras prestaciones de jubilación. Se incluye el pago a la seguridad social en nombre de los empleados (así como las cotizaciones para las pensiones).</w:t>
      </w:r>
    </w:p>
    <w:p w:rsidR="00FA356D" w:rsidRPr="00872857" w:rsidRDefault="00FA356D" w:rsidP="00B0083E">
      <w:pPr>
        <w:jc w:val="both"/>
        <w:rPr>
          <w:rFonts w:ascii="Montserrat" w:hAnsi="Montserrat"/>
          <w:b/>
        </w:rPr>
      </w:pPr>
    </w:p>
    <w:p w:rsidR="00E97E67" w:rsidRPr="00872857" w:rsidRDefault="00E97E67" w:rsidP="00E97E67">
      <w:pPr>
        <w:jc w:val="both"/>
        <w:rPr>
          <w:rFonts w:ascii="Montserrat" w:hAnsi="Montserrat"/>
          <w:b/>
        </w:rPr>
      </w:pPr>
      <w:r w:rsidRPr="00872857">
        <w:rPr>
          <w:rFonts w:ascii="Montserrat" w:hAnsi="Montserrat"/>
          <w:b/>
        </w:rPr>
        <w:t>FP.3.2.1 Gasto en productos farmacéuticos</w:t>
      </w:r>
    </w:p>
    <w:p w:rsidR="00EF2938" w:rsidRPr="00872857" w:rsidRDefault="00E97E67" w:rsidP="00E97E67">
      <w:pPr>
        <w:jc w:val="both"/>
        <w:rPr>
          <w:rFonts w:ascii="Montserrat" w:hAnsi="Montserrat"/>
        </w:rPr>
      </w:pPr>
      <w:r w:rsidRPr="00872857">
        <w:rPr>
          <w:rFonts w:ascii="Montserrat" w:hAnsi="Montserrat"/>
        </w:rPr>
        <w:t xml:space="preserve">Un producto farmacéutico se define como cualquier compuesto químico utilizado para el diagnóstico, tratamiento, prevención de una enfermedad o una condición anormal. Incluye reactivos y otros productos químicos utilizados en las </w:t>
      </w:r>
      <w:r w:rsidR="00EF2938" w:rsidRPr="00872857">
        <w:rPr>
          <w:rFonts w:ascii="Montserrat" w:hAnsi="Montserrat"/>
        </w:rPr>
        <w:t xml:space="preserve">pruebas de laboratorio. </w:t>
      </w:r>
      <w:r w:rsidRPr="00872857">
        <w:rPr>
          <w:rFonts w:ascii="Montserrat" w:hAnsi="Montserrat"/>
        </w:rPr>
        <w:t xml:space="preserve">Un tema de mucho interés para los encargados </w:t>
      </w:r>
      <w:r w:rsidR="00EF2938" w:rsidRPr="00872857">
        <w:rPr>
          <w:rFonts w:ascii="Montserrat" w:hAnsi="Montserrat"/>
        </w:rPr>
        <w:t xml:space="preserve">de formular las políticas es la </w:t>
      </w:r>
      <w:r w:rsidRPr="00872857">
        <w:rPr>
          <w:rFonts w:ascii="Montserrat" w:hAnsi="Montserrat"/>
        </w:rPr>
        <w:t xml:space="preserve">participación de los productos farmacéuticos y </w:t>
      </w:r>
      <w:r w:rsidR="00EF2938" w:rsidRPr="00872857">
        <w:rPr>
          <w:rFonts w:ascii="Montserrat" w:hAnsi="Montserrat"/>
        </w:rPr>
        <w:t xml:space="preserve">otros bienes médicos dentro del </w:t>
      </w:r>
      <w:r w:rsidRPr="00872857">
        <w:rPr>
          <w:rFonts w:ascii="Montserrat" w:hAnsi="Montserrat"/>
        </w:rPr>
        <w:t>total del gasto en salud.</w:t>
      </w:r>
    </w:p>
    <w:p w:rsidR="00EF2938" w:rsidRPr="00872857" w:rsidRDefault="00EF2938" w:rsidP="00E97E67">
      <w:pPr>
        <w:jc w:val="both"/>
        <w:rPr>
          <w:rFonts w:ascii="Montserrat" w:hAnsi="Montserrat"/>
        </w:rPr>
      </w:pPr>
    </w:p>
    <w:p w:rsidR="00E97E67" w:rsidRPr="00872857" w:rsidRDefault="00EF2938" w:rsidP="00EF2938">
      <w:pPr>
        <w:jc w:val="both"/>
        <w:rPr>
          <w:rFonts w:ascii="Montserrat" w:hAnsi="Montserrat"/>
        </w:rPr>
      </w:pPr>
      <w:r w:rsidRPr="00872857">
        <w:rPr>
          <w:rFonts w:ascii="Montserrat" w:hAnsi="Montserrat"/>
        </w:rPr>
        <w:t>Incluye: todos los medicamentos y bienes farmacéuticos como vacunas y suero, los demás productos de consumo como el algodón, gasas y utensilios que se utilicen de forma exclusiva o principalmente en el trabajo.</w:t>
      </w:r>
    </w:p>
    <w:p w:rsidR="00EF2938" w:rsidRPr="00872857" w:rsidRDefault="00EF2938" w:rsidP="00EF2938">
      <w:pPr>
        <w:jc w:val="both"/>
        <w:rPr>
          <w:rFonts w:ascii="Montserrat" w:hAnsi="Montserrat"/>
        </w:rPr>
      </w:pPr>
    </w:p>
    <w:p w:rsidR="00EF2938" w:rsidRPr="00872857" w:rsidRDefault="00EF2938" w:rsidP="00EF2938">
      <w:pPr>
        <w:jc w:val="both"/>
        <w:rPr>
          <w:rFonts w:ascii="Montserrat" w:hAnsi="Montserrat"/>
          <w:b/>
        </w:rPr>
      </w:pPr>
      <w:r w:rsidRPr="00872857">
        <w:rPr>
          <w:rFonts w:ascii="Montserrat" w:hAnsi="Montserrat"/>
          <w:b/>
        </w:rPr>
        <w:t>FP.3.3 Servicios no de salud y FP.3.4 Bienes no de salud</w:t>
      </w:r>
    </w:p>
    <w:p w:rsidR="00EF2938" w:rsidRPr="00872857" w:rsidRDefault="00EF2938" w:rsidP="00EF2938">
      <w:pPr>
        <w:jc w:val="both"/>
        <w:rPr>
          <w:rFonts w:ascii="Montserrat" w:hAnsi="Montserrat"/>
        </w:rPr>
      </w:pPr>
      <w:r w:rsidRPr="00872857">
        <w:rPr>
          <w:rFonts w:ascii="Montserrat" w:hAnsi="Montserrat"/>
        </w:rPr>
        <w:t xml:space="preserve">Estas categorías comprenden bienes y servicios utilizados para producir servicios de salud, pero que no poseen una naturaleza especializada en la salud. Son servicios de naturaleza general, como los necesarios para que el proveedor pueda realizar su actividad, por </w:t>
      </w:r>
      <w:r w:rsidR="00E464AD" w:rsidRPr="00872857">
        <w:rPr>
          <w:rFonts w:ascii="Montserrat" w:hAnsi="Montserrat"/>
        </w:rPr>
        <w:t>ejemplo,</w:t>
      </w:r>
      <w:r w:rsidRPr="00872857">
        <w:rPr>
          <w:rFonts w:ascii="Montserrat" w:hAnsi="Montserrat"/>
        </w:rPr>
        <w:t xml:space="preserve"> de gestión (software, bolígrafos y papel), cocinas (en hospitales para atender a los pacientes que se quedan a dormir por la noche si no se contratan de forma externa), transporte (gasolina y herramientas para los vehículos) y otros usos de tipo general como el agua y la electricidad.</w:t>
      </w:r>
    </w:p>
    <w:sectPr w:rsidR="00EF2938" w:rsidRPr="00872857" w:rsidSect="00872857">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ABA" w:rsidRDefault="000D3ABA" w:rsidP="00982BB8">
      <w:pPr>
        <w:spacing w:after="0" w:line="240" w:lineRule="auto"/>
      </w:pPr>
      <w:r>
        <w:separator/>
      </w:r>
    </w:p>
  </w:endnote>
  <w:endnote w:type="continuationSeparator" w:id="0">
    <w:p w:rsidR="000D3ABA" w:rsidRDefault="000D3ABA"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57" w:rsidRDefault="0087285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57" w:rsidRDefault="0087285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57" w:rsidRDefault="0087285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ABA" w:rsidRDefault="000D3ABA" w:rsidP="00982BB8">
      <w:pPr>
        <w:spacing w:after="0" w:line="240" w:lineRule="auto"/>
      </w:pPr>
      <w:r>
        <w:separator/>
      </w:r>
    </w:p>
  </w:footnote>
  <w:footnote w:type="continuationSeparator" w:id="0">
    <w:p w:rsidR="000D3ABA" w:rsidRDefault="000D3ABA"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57" w:rsidRDefault="000D3AB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3964954"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57" w:rsidRPr="006B1ACA" w:rsidRDefault="000D3ABA" w:rsidP="00872857">
    <w:pPr>
      <w:pStyle w:val="Encabezado"/>
      <w:jc w:val="center"/>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3964955" o:spid="_x0000_s2052" type="#_x0000_t75" style="position:absolute;left:0;text-align:left;margin-left:0;margin-top:0;width:639.45pt;height:826.75pt;z-index:-251654144;mso-position-horizontal:center;mso-position-horizontal-relative:margin;mso-position-vertical:center;mso-position-vertical-relative:margin" o:allowincell="f">
          <v:imagedata r:id="rId1" o:title="Marca de Agua 4t"/>
          <w10:wrap anchorx="margin" anchory="margin"/>
        </v:shape>
      </w:pict>
    </w:r>
    <w:r w:rsidR="00872857" w:rsidRPr="006B1ACA">
      <w:rPr>
        <w:noProof/>
        <w:color w:val="BC7D00"/>
        <w:lang w:eastAsia="es-MX"/>
      </w:rPr>
      <w:drawing>
        <wp:anchor distT="0" distB="0" distL="114300" distR="114300" simplePos="0" relativeHeight="251659264" behindDoc="0" locked="0" layoutInCell="1" allowOverlap="1" wp14:anchorId="2F6F6B99" wp14:editId="607F8A06">
          <wp:simplePos x="0" y="0"/>
          <wp:positionH relativeFrom="column">
            <wp:posOffset>-130415</wp:posOffset>
          </wp:positionH>
          <wp:positionV relativeFrom="paragraph">
            <wp:posOffset>-130040</wp:posOffset>
          </wp:positionV>
          <wp:extent cx="2233868" cy="525780"/>
          <wp:effectExtent l="0" t="0" r="0" b="7620"/>
          <wp:wrapSquare wrapText="bothSides"/>
          <wp:docPr id="13" name="Imagen 1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72857" w:rsidRPr="006B1ACA">
      <w:rPr>
        <w:rFonts w:ascii="Montserrat" w:hAnsi="Montserrat"/>
        <w:color w:val="BC7D00"/>
      </w:rPr>
      <w:t>Subsecretaria de Integración y Desarrollo del Sector Salud</w:t>
    </w:r>
  </w:p>
  <w:p w:rsidR="00182A18" w:rsidRDefault="00872857" w:rsidP="00872857">
    <w:pPr>
      <w:pStyle w:val="Encabezado"/>
      <w:jc w:val="center"/>
      <w:rPr>
        <w:rFonts w:ascii="Montserrat" w:hAnsi="Montserrat"/>
        <w:color w:val="BC7D00"/>
      </w:rPr>
    </w:pPr>
    <w:r w:rsidRPr="006B1ACA">
      <w:rPr>
        <w:rFonts w:ascii="Montserrat" w:hAnsi="Montserrat"/>
        <w:color w:val="BC7D00"/>
      </w:rPr>
      <w:t>Dirección General de Información en Salud</w:t>
    </w:r>
  </w:p>
  <w:p w:rsidR="00872857" w:rsidRPr="0074300F" w:rsidRDefault="00872857" w:rsidP="00872857">
    <w:pPr>
      <w:pStyle w:val="Encabezado"/>
      <w:jc w:val="center"/>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57" w:rsidRDefault="000D3AB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3964953"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12EBF"/>
    <w:multiLevelType w:val="hybridMultilevel"/>
    <w:tmpl w:val="068453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1291C30"/>
    <w:multiLevelType w:val="hybridMultilevel"/>
    <w:tmpl w:val="A732D24A"/>
    <w:lvl w:ilvl="0" w:tplc="B49EBA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717CF"/>
    <w:rsid w:val="000C1A3E"/>
    <w:rsid w:val="000D0DA8"/>
    <w:rsid w:val="000D3ABA"/>
    <w:rsid w:val="000F270E"/>
    <w:rsid w:val="00182A18"/>
    <w:rsid w:val="001840CB"/>
    <w:rsid w:val="00286444"/>
    <w:rsid w:val="0029461B"/>
    <w:rsid w:val="002968A3"/>
    <w:rsid w:val="002B4DA8"/>
    <w:rsid w:val="002C02E9"/>
    <w:rsid w:val="002F79A9"/>
    <w:rsid w:val="00315B55"/>
    <w:rsid w:val="00323A27"/>
    <w:rsid w:val="0032568B"/>
    <w:rsid w:val="00336ABF"/>
    <w:rsid w:val="0036394C"/>
    <w:rsid w:val="0037517C"/>
    <w:rsid w:val="003808DE"/>
    <w:rsid w:val="00402FED"/>
    <w:rsid w:val="00455696"/>
    <w:rsid w:val="0046583E"/>
    <w:rsid w:val="00557256"/>
    <w:rsid w:val="0059248E"/>
    <w:rsid w:val="005E097A"/>
    <w:rsid w:val="0062335A"/>
    <w:rsid w:val="006520C0"/>
    <w:rsid w:val="00652AB2"/>
    <w:rsid w:val="006B3184"/>
    <w:rsid w:val="006C3207"/>
    <w:rsid w:val="00726D6B"/>
    <w:rsid w:val="0074300F"/>
    <w:rsid w:val="0076058F"/>
    <w:rsid w:val="00872857"/>
    <w:rsid w:val="008F44D1"/>
    <w:rsid w:val="00931BB3"/>
    <w:rsid w:val="00960AD7"/>
    <w:rsid w:val="00982BB8"/>
    <w:rsid w:val="00983693"/>
    <w:rsid w:val="009A5FE2"/>
    <w:rsid w:val="00A05996"/>
    <w:rsid w:val="00A60708"/>
    <w:rsid w:val="00B0083E"/>
    <w:rsid w:val="00B5513E"/>
    <w:rsid w:val="00BB4451"/>
    <w:rsid w:val="00BD20F2"/>
    <w:rsid w:val="00BE6AC1"/>
    <w:rsid w:val="00C045AC"/>
    <w:rsid w:val="00C1088F"/>
    <w:rsid w:val="00C53D15"/>
    <w:rsid w:val="00C84346"/>
    <w:rsid w:val="00C859F0"/>
    <w:rsid w:val="00DA6AE0"/>
    <w:rsid w:val="00DC5F5C"/>
    <w:rsid w:val="00DE4B43"/>
    <w:rsid w:val="00E464AD"/>
    <w:rsid w:val="00E5434E"/>
    <w:rsid w:val="00E64FDC"/>
    <w:rsid w:val="00E97E67"/>
    <w:rsid w:val="00EB788A"/>
    <w:rsid w:val="00EF2938"/>
    <w:rsid w:val="00F05C49"/>
    <w:rsid w:val="00F36B59"/>
    <w:rsid w:val="00F55EA5"/>
    <w:rsid w:val="00F56CF2"/>
    <w:rsid w:val="00F6641C"/>
    <w:rsid w:val="00F667FD"/>
    <w:rsid w:val="00FA35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yeliSalud">
    <w:name w:val="Nayeli Salud"/>
    <w:basedOn w:val="Normal"/>
    <w:link w:val="NayeliSaludCar"/>
    <w:qFormat/>
    <w:rsid w:val="005E097A"/>
    <w:rPr>
      <w:rFonts w:ascii="Soberana Sans" w:hAnsi="Soberana Sans"/>
      <w:sz w:val="20"/>
    </w:rPr>
  </w:style>
  <w:style w:type="character" w:customStyle="1" w:styleId="NayeliSaludCar">
    <w:name w:val="Nayeli Salud Car"/>
    <w:basedOn w:val="Fuentedeprrafopredeter"/>
    <w:link w:val="NayeliSalud"/>
    <w:rsid w:val="005E097A"/>
    <w:rPr>
      <w:rFonts w:ascii="Soberana Sans" w:hAnsi="Soberana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897480">
      <w:bodyDiv w:val="1"/>
      <w:marLeft w:val="0"/>
      <w:marRight w:val="0"/>
      <w:marTop w:val="0"/>
      <w:marBottom w:val="0"/>
      <w:divBdr>
        <w:top w:val="none" w:sz="0" w:space="0" w:color="auto"/>
        <w:left w:val="none" w:sz="0" w:space="0" w:color="auto"/>
        <w:bottom w:val="none" w:sz="0" w:space="0" w:color="auto"/>
        <w:right w:val="none" w:sz="0" w:space="0" w:color="auto"/>
      </w:divBdr>
    </w:div>
    <w:div w:id="587426146">
      <w:bodyDiv w:val="1"/>
      <w:marLeft w:val="0"/>
      <w:marRight w:val="0"/>
      <w:marTop w:val="0"/>
      <w:marBottom w:val="0"/>
      <w:divBdr>
        <w:top w:val="none" w:sz="0" w:space="0" w:color="auto"/>
        <w:left w:val="none" w:sz="0" w:space="0" w:color="auto"/>
        <w:bottom w:val="none" w:sz="0" w:space="0" w:color="auto"/>
        <w:right w:val="none" w:sz="0" w:space="0" w:color="auto"/>
      </w:divBdr>
    </w:div>
    <w:div w:id="1178808356">
      <w:bodyDiv w:val="1"/>
      <w:marLeft w:val="0"/>
      <w:marRight w:val="0"/>
      <w:marTop w:val="0"/>
      <w:marBottom w:val="0"/>
      <w:divBdr>
        <w:top w:val="none" w:sz="0" w:space="0" w:color="auto"/>
        <w:left w:val="none" w:sz="0" w:space="0" w:color="auto"/>
        <w:bottom w:val="none" w:sz="0" w:space="0" w:color="auto"/>
        <w:right w:val="none" w:sz="0" w:space="0" w:color="auto"/>
      </w:divBdr>
    </w:div>
    <w:div w:id="172864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CA4D2-4969-413F-8E26-483B4A1D8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5</Pages>
  <Words>975</Words>
  <Characters>5367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17</cp:revision>
  <dcterms:created xsi:type="dcterms:W3CDTF">2017-06-27T22:24:00Z</dcterms:created>
  <dcterms:modified xsi:type="dcterms:W3CDTF">2019-06-24T16:48:00Z</dcterms:modified>
</cp:coreProperties>
</file>