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3A0C9" w14:textId="77777777" w:rsidR="003E10BD" w:rsidRPr="001B610A" w:rsidRDefault="008318FF" w:rsidP="005C6B80">
      <w:pPr>
        <w:widowControl w:val="0"/>
        <w:tabs>
          <w:tab w:val="left" w:pos="8760"/>
        </w:tabs>
        <w:spacing w:line="438" w:lineRule="exact"/>
        <w:ind w:right="-29"/>
        <w:jc w:val="center"/>
        <w:rPr>
          <w:rFonts w:ascii="Montserrat" w:eastAsia="Soberana Titular" w:hAnsi="Montserrat" w:cs="Soberana Titular"/>
          <w:b/>
          <w:bCs/>
          <w:color w:val="1C1B1B"/>
          <w:spacing w:val="8"/>
          <w:sz w:val="36"/>
          <w:szCs w:val="36"/>
          <w:lang w:val="es-MX"/>
        </w:rPr>
      </w:pPr>
      <w:r w:rsidRPr="001B610A">
        <w:rPr>
          <w:rFonts w:ascii="Montserrat" w:eastAsia="Soberana Titular" w:hAnsi="Montserrat" w:cs="Soberana Titular"/>
          <w:b/>
          <w:bCs/>
          <w:color w:val="1C1B1B"/>
          <w:spacing w:val="8"/>
          <w:sz w:val="36"/>
          <w:szCs w:val="36"/>
          <w:lang w:val="es-MX"/>
        </w:rPr>
        <w:t>METODOLOGÍA</w:t>
      </w:r>
    </w:p>
    <w:p w14:paraId="7C0C1363" w14:textId="77777777" w:rsidR="003E10BD" w:rsidRPr="00AE5531" w:rsidRDefault="003E10BD" w:rsidP="00345617">
      <w:pPr>
        <w:spacing w:line="360" w:lineRule="auto"/>
        <w:ind w:right="6"/>
        <w:jc w:val="both"/>
        <w:rPr>
          <w:rFonts w:ascii="Montserrat" w:hAnsi="Montserrat" w:cs="Arial"/>
          <w:bCs/>
          <w:sz w:val="20"/>
          <w:szCs w:val="20"/>
          <w:lang w:val="es-ES_tradnl"/>
        </w:rPr>
      </w:pPr>
    </w:p>
    <w:p w14:paraId="7650AB08" w14:textId="70BC1954" w:rsidR="0044710C" w:rsidRPr="00AE5531" w:rsidRDefault="003E10BD" w:rsidP="00A8537B">
      <w:pPr>
        <w:spacing w:line="276" w:lineRule="auto"/>
        <w:ind w:right="6"/>
        <w:jc w:val="both"/>
        <w:rPr>
          <w:rFonts w:ascii="Montserrat" w:hAnsi="Montserrat" w:cs="Arial"/>
          <w:color w:val="000000"/>
          <w:sz w:val="20"/>
          <w:szCs w:val="20"/>
          <w:lang w:val="es-MX"/>
        </w:rPr>
      </w:pPr>
      <w:r w:rsidRPr="00AE5531">
        <w:rPr>
          <w:rFonts w:ascii="Montserrat" w:hAnsi="Montserrat" w:cs="Arial"/>
          <w:color w:val="000000"/>
          <w:sz w:val="20"/>
          <w:szCs w:val="20"/>
          <w:lang w:val="es-MX"/>
        </w:rPr>
        <w:t>El Boletín de Información Estadística</w:t>
      </w:r>
      <w:r w:rsidR="00166121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 </w:t>
      </w:r>
      <w:r w:rsidRPr="00AE5531">
        <w:rPr>
          <w:rFonts w:ascii="Montserrat" w:hAnsi="Montserrat" w:cs="Arial"/>
          <w:color w:val="000000"/>
          <w:sz w:val="20"/>
          <w:szCs w:val="20"/>
          <w:lang w:val="es-MX"/>
        </w:rPr>
        <w:t>es una publicación n</w:t>
      </w:r>
      <w:r w:rsidR="00664D1B" w:rsidRPr="00AE5531">
        <w:rPr>
          <w:rFonts w:ascii="Montserrat" w:hAnsi="Montserrat" w:cs="Arial"/>
          <w:color w:val="000000"/>
          <w:sz w:val="20"/>
          <w:szCs w:val="20"/>
          <w:lang w:val="es-MX"/>
        </w:rPr>
        <w:t>acional que se realiza cada año</w:t>
      </w:r>
      <w:r w:rsidR="008A22AA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 </w:t>
      </w:r>
      <w:r w:rsidR="00166121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y </w:t>
      </w:r>
      <w:r w:rsidR="009D5412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que </w:t>
      </w:r>
      <w:r w:rsidR="00166121" w:rsidRPr="00AE5531">
        <w:rPr>
          <w:rFonts w:ascii="Montserrat" w:hAnsi="Montserrat" w:cs="Arial"/>
          <w:color w:val="000000"/>
          <w:sz w:val="20"/>
          <w:szCs w:val="20"/>
          <w:lang w:val="es-MX"/>
        </w:rPr>
        <w:t>integra a</w:t>
      </w:r>
      <w:r w:rsidR="00EA155E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 los Servicios de </w:t>
      </w:r>
      <w:r w:rsidR="00D015F0">
        <w:rPr>
          <w:rFonts w:ascii="Montserrat" w:hAnsi="Montserrat" w:cs="Arial"/>
          <w:color w:val="000000"/>
          <w:sz w:val="20"/>
          <w:szCs w:val="20"/>
          <w:lang w:val="es-MX"/>
        </w:rPr>
        <w:t xml:space="preserve">Instituciones Públicas de </w:t>
      </w:r>
      <w:r w:rsidR="00EA155E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Salud en México. </w:t>
      </w:r>
      <w:r w:rsidR="005158B1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Cabe señalar que, debido a la </w:t>
      </w:r>
      <w:r w:rsidR="008A22AA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limitación en el universo de variables con que se cuenta para el caso de los establecimientos de la medicina privada, en el presente documento sólo se reporta información </w:t>
      </w:r>
      <w:r w:rsidR="0044710C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de </w:t>
      </w:r>
      <w:r w:rsidR="00166121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la infraestructura, </w:t>
      </w:r>
      <w:r w:rsidR="0044710C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los </w:t>
      </w:r>
      <w:r w:rsidR="00166121" w:rsidRPr="00AE5531">
        <w:rPr>
          <w:rFonts w:ascii="Montserrat" w:hAnsi="Montserrat" w:cs="Arial"/>
          <w:color w:val="000000"/>
          <w:sz w:val="20"/>
          <w:szCs w:val="20"/>
          <w:lang w:val="es-MX"/>
        </w:rPr>
        <w:t>recursos humanos</w:t>
      </w:r>
      <w:r w:rsidR="00DC69E5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 y el equipo médico existente en </w:t>
      </w:r>
      <w:r w:rsidR="0044710C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las diferentes instituciones </w:t>
      </w:r>
      <w:r w:rsidR="0069408E" w:rsidRPr="00AE5531">
        <w:rPr>
          <w:rFonts w:ascii="Montserrat" w:hAnsi="Montserrat" w:cs="Arial"/>
          <w:color w:val="000000"/>
          <w:sz w:val="20"/>
          <w:szCs w:val="20"/>
          <w:lang w:val="es-MX"/>
        </w:rPr>
        <w:t>de</w:t>
      </w:r>
      <w:r w:rsidR="008A22AA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l </w:t>
      </w:r>
      <w:r w:rsidR="00D015F0">
        <w:rPr>
          <w:rFonts w:ascii="Montserrat" w:hAnsi="Montserrat" w:cs="Arial"/>
          <w:color w:val="000000"/>
          <w:sz w:val="20"/>
          <w:szCs w:val="20"/>
          <w:lang w:val="es-MX"/>
        </w:rPr>
        <w:t>S</w:t>
      </w:r>
      <w:r w:rsidR="008A22AA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ector </w:t>
      </w:r>
      <w:r w:rsidR="00D015F0">
        <w:rPr>
          <w:rFonts w:ascii="Montserrat" w:hAnsi="Montserrat" w:cs="Arial"/>
          <w:color w:val="000000"/>
          <w:sz w:val="20"/>
          <w:szCs w:val="20"/>
          <w:lang w:val="es-MX"/>
        </w:rPr>
        <w:t>P</w:t>
      </w:r>
      <w:r w:rsidR="008A22AA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úblico que integran </w:t>
      </w:r>
      <w:r w:rsidR="0069408E" w:rsidRPr="00AE5531">
        <w:rPr>
          <w:rFonts w:ascii="Montserrat" w:hAnsi="Montserrat" w:cs="Arial"/>
          <w:color w:val="000000"/>
          <w:sz w:val="20"/>
          <w:szCs w:val="20"/>
          <w:lang w:val="es-MX"/>
        </w:rPr>
        <w:t>el Sistema Nacional de Salud en México.</w:t>
      </w:r>
    </w:p>
    <w:p w14:paraId="0FBE4BAB" w14:textId="77777777" w:rsidR="00D062E2" w:rsidRPr="00AE5531" w:rsidRDefault="00D062E2" w:rsidP="00345617">
      <w:pPr>
        <w:spacing w:line="360" w:lineRule="auto"/>
        <w:ind w:right="6"/>
        <w:jc w:val="both"/>
        <w:rPr>
          <w:rFonts w:ascii="Montserrat" w:hAnsi="Montserrat" w:cs="Arial"/>
          <w:color w:val="000000"/>
          <w:sz w:val="20"/>
          <w:szCs w:val="20"/>
          <w:lang w:val="es-MX"/>
        </w:rPr>
      </w:pPr>
    </w:p>
    <w:p w14:paraId="1269990B" w14:textId="77777777" w:rsidR="002D13FE" w:rsidRPr="00AE5531" w:rsidRDefault="00805D28" w:rsidP="00F071C2">
      <w:pPr>
        <w:spacing w:line="360" w:lineRule="auto"/>
        <w:ind w:right="6"/>
        <w:jc w:val="both"/>
        <w:outlineLvl w:val="0"/>
        <w:rPr>
          <w:rFonts w:ascii="Montserrat" w:hAnsi="Montserrat" w:cs="Arial"/>
          <w:b/>
          <w:color w:val="000000"/>
          <w:sz w:val="20"/>
          <w:szCs w:val="20"/>
          <w:lang w:val="es-MX"/>
        </w:rPr>
      </w:pPr>
      <w:r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>II.</w:t>
      </w:r>
      <w:r w:rsidR="004F63BD"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 xml:space="preserve">1. </w:t>
      </w:r>
      <w:r w:rsidR="002D13FE"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>ESTRUCTURA DE LA INFORMACIÓN</w:t>
      </w:r>
    </w:p>
    <w:p w14:paraId="7820FE21" w14:textId="77777777" w:rsidR="003061A3" w:rsidRPr="00AE5531" w:rsidRDefault="00DC69E5" w:rsidP="00A8537B">
      <w:pPr>
        <w:spacing w:line="276" w:lineRule="auto"/>
        <w:ind w:right="6"/>
        <w:jc w:val="both"/>
        <w:rPr>
          <w:rFonts w:ascii="Montserrat" w:hAnsi="Montserrat" w:cs="Arial"/>
          <w:color w:val="000000"/>
          <w:sz w:val="20"/>
          <w:szCs w:val="20"/>
          <w:lang w:val="es-MX"/>
        </w:rPr>
      </w:pPr>
      <w:r w:rsidRPr="00AE5531">
        <w:rPr>
          <w:rFonts w:ascii="Montserrat" w:hAnsi="Montserrat" w:cs="Arial"/>
          <w:color w:val="000000"/>
          <w:sz w:val="20"/>
          <w:szCs w:val="20"/>
          <w:lang w:val="es-MX"/>
        </w:rPr>
        <w:t>L</w:t>
      </w:r>
      <w:r w:rsidR="007A4A96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a información reportada se </w:t>
      </w:r>
      <w:r w:rsidR="00235F33" w:rsidRPr="00AE5531">
        <w:rPr>
          <w:rFonts w:ascii="Montserrat" w:hAnsi="Montserrat" w:cs="Arial"/>
          <w:color w:val="000000"/>
          <w:sz w:val="20"/>
          <w:szCs w:val="20"/>
          <w:lang w:val="es-MX"/>
        </w:rPr>
        <w:t>presenta</w:t>
      </w:r>
      <w:r w:rsidR="00166121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 </w:t>
      </w:r>
      <w:r w:rsidR="00A55CB2" w:rsidRPr="00AE5531">
        <w:rPr>
          <w:rFonts w:ascii="Montserrat" w:hAnsi="Montserrat" w:cs="Arial"/>
          <w:color w:val="000000"/>
          <w:sz w:val="20"/>
          <w:szCs w:val="20"/>
          <w:lang w:val="es-MX"/>
        </w:rPr>
        <w:t>por instituci</w:t>
      </w:r>
      <w:r w:rsidR="00E97320" w:rsidRPr="00AE5531">
        <w:rPr>
          <w:rFonts w:ascii="Montserrat" w:hAnsi="Montserrat" w:cs="Arial"/>
          <w:color w:val="000000"/>
          <w:sz w:val="20"/>
          <w:szCs w:val="20"/>
          <w:lang w:val="es-MX"/>
        </w:rPr>
        <w:t>ón</w:t>
      </w:r>
      <w:r w:rsidR="00235F33" w:rsidRPr="00AE5531">
        <w:rPr>
          <w:rFonts w:ascii="Montserrat" w:hAnsi="Montserrat" w:cs="Arial"/>
          <w:color w:val="000000"/>
          <w:sz w:val="20"/>
          <w:szCs w:val="20"/>
          <w:lang w:val="es-MX"/>
        </w:rPr>
        <w:t>, población</w:t>
      </w:r>
      <w:r w:rsidR="00166121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 </w:t>
      </w:r>
      <w:r w:rsidR="007A4A96" w:rsidRPr="00AE5531">
        <w:rPr>
          <w:rFonts w:ascii="Montserrat" w:hAnsi="Montserrat" w:cs="Arial"/>
          <w:color w:val="000000"/>
          <w:sz w:val="20"/>
          <w:szCs w:val="20"/>
          <w:lang w:val="es-MX"/>
        </w:rPr>
        <w:t>asegurada y no asegurada</w:t>
      </w:r>
      <w:r w:rsidR="00D606F2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 (véase </w:t>
      </w:r>
      <w:r w:rsidR="00A55CB2" w:rsidRPr="00AE5531">
        <w:rPr>
          <w:rFonts w:ascii="Montserrat" w:hAnsi="Montserrat" w:cs="Arial"/>
          <w:color w:val="000000"/>
          <w:sz w:val="20"/>
          <w:szCs w:val="20"/>
          <w:lang w:val="es-MX"/>
        </w:rPr>
        <w:t>cuadro</w:t>
      </w:r>
      <w:r w:rsidR="00D606F2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 1)</w:t>
      </w:r>
      <w:r w:rsidRPr="00AE5531">
        <w:rPr>
          <w:rFonts w:ascii="Montserrat" w:hAnsi="Montserrat" w:cs="Arial"/>
          <w:color w:val="000000"/>
          <w:sz w:val="20"/>
          <w:szCs w:val="20"/>
          <w:lang w:val="es-MX"/>
        </w:rPr>
        <w:t>,</w:t>
      </w:r>
      <w:r w:rsidR="00166121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 </w:t>
      </w:r>
      <w:r w:rsidRPr="00AE5531">
        <w:rPr>
          <w:rFonts w:ascii="Montserrat" w:hAnsi="Montserrat" w:cs="Arial"/>
          <w:color w:val="000000"/>
          <w:sz w:val="20"/>
          <w:szCs w:val="20"/>
          <w:lang w:val="es-MX"/>
        </w:rPr>
        <w:t>así como por</w:t>
      </w:r>
      <w:r w:rsidR="00FF6C21" w:rsidRPr="00AE5531">
        <w:rPr>
          <w:rFonts w:ascii="Montserrat" w:hAnsi="Montserrat" w:cs="Arial"/>
          <w:color w:val="000000"/>
          <w:sz w:val="20"/>
          <w:szCs w:val="20"/>
          <w:lang w:val="es-MX"/>
        </w:rPr>
        <w:t xml:space="preserve"> entidad federativa</w:t>
      </w:r>
      <w:r w:rsidR="003061A3" w:rsidRPr="00AE5531">
        <w:rPr>
          <w:rFonts w:ascii="Montserrat" w:hAnsi="Montserrat" w:cs="Arial"/>
          <w:color w:val="000000"/>
          <w:sz w:val="20"/>
          <w:szCs w:val="20"/>
          <w:lang w:val="es-MX"/>
        </w:rPr>
        <w:t>.</w:t>
      </w:r>
    </w:p>
    <w:p w14:paraId="24C22E9A" w14:textId="77777777" w:rsidR="00805D28" w:rsidRPr="001B610A" w:rsidRDefault="00805D28" w:rsidP="003061A3">
      <w:pPr>
        <w:spacing w:line="360" w:lineRule="auto"/>
        <w:ind w:right="6"/>
        <w:jc w:val="both"/>
        <w:rPr>
          <w:rFonts w:ascii="Montserrat" w:hAnsi="Montserrat" w:cs="Arial"/>
          <w:color w:val="000000"/>
          <w:sz w:val="16"/>
          <w:szCs w:val="16"/>
          <w:lang w:val="es-MX"/>
        </w:rPr>
      </w:pPr>
    </w:p>
    <w:p w14:paraId="4882921A" w14:textId="5CD1FF39" w:rsidR="001517ED" w:rsidRDefault="00A55CB2" w:rsidP="00805D28">
      <w:pPr>
        <w:spacing w:line="360" w:lineRule="auto"/>
        <w:ind w:right="6"/>
        <w:jc w:val="center"/>
        <w:rPr>
          <w:rFonts w:ascii="Montserrat" w:hAnsi="Montserrat" w:cs="Arial"/>
          <w:b/>
          <w:color w:val="000000"/>
          <w:sz w:val="20"/>
          <w:szCs w:val="20"/>
          <w:lang w:val="es-MX"/>
        </w:rPr>
      </w:pPr>
      <w:r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 xml:space="preserve">Cuadro </w:t>
      </w:r>
      <w:r w:rsidR="00155AFF"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>1. Instituciones</w:t>
      </w:r>
    </w:p>
    <w:tbl>
      <w:tblPr>
        <w:tblW w:w="65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5972"/>
      </w:tblGrid>
      <w:tr w:rsidR="00651C60" w:rsidRPr="00651C60" w14:paraId="777995FE" w14:textId="77777777" w:rsidTr="00651C60">
        <w:trPr>
          <w:trHeight w:val="426"/>
          <w:jc w:val="center"/>
        </w:trPr>
        <w:tc>
          <w:tcPr>
            <w:tcW w:w="6531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285C4D"/>
            <w:noWrap/>
            <w:vAlign w:val="center"/>
            <w:hideMark/>
          </w:tcPr>
          <w:p w14:paraId="7F9E5040" w14:textId="77777777" w:rsidR="00651C60" w:rsidRPr="00B30DC7" w:rsidRDefault="00651C60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6"/>
                <w:szCs w:val="16"/>
                <w:lang w:val="es-MX" w:eastAsia="es-MX"/>
              </w:rPr>
            </w:pPr>
            <w:r w:rsidRPr="00B30DC7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Institución</w:t>
            </w:r>
          </w:p>
        </w:tc>
      </w:tr>
      <w:tr w:rsidR="00651C60" w:rsidRPr="00651C60" w14:paraId="0716D547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E7C1D19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4A750A3E" w14:textId="77777777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Secretearía de Salud</w:t>
            </w:r>
          </w:p>
        </w:tc>
      </w:tr>
      <w:tr w:rsidR="00651C60" w:rsidRPr="00651C60" w14:paraId="2F911BC5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B5B9" w14:textId="77777777" w:rsidR="00651C60" w:rsidRPr="00DE22B9" w:rsidRDefault="00651C60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4523" w14:textId="77777777" w:rsidR="00651C60" w:rsidRPr="00DE22B9" w:rsidRDefault="00651C60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Servicios Estatales de Salud</w:t>
            </w:r>
          </w:p>
        </w:tc>
      </w:tr>
      <w:tr w:rsidR="00651C60" w:rsidRPr="00651C60" w14:paraId="35AA5624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160D" w14:textId="77777777" w:rsidR="00651C60" w:rsidRPr="00DE22B9" w:rsidRDefault="00651C60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E77C" w14:textId="77777777" w:rsidR="00651C60" w:rsidRPr="00DE22B9" w:rsidRDefault="00651C60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Institutos Nacionales de Salud</w:t>
            </w:r>
          </w:p>
        </w:tc>
      </w:tr>
      <w:tr w:rsidR="00651C60" w:rsidRPr="00651C60" w14:paraId="0DEBAAE6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719A" w14:textId="77777777" w:rsidR="00651C60" w:rsidRPr="00DE22B9" w:rsidRDefault="00651C60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0893" w14:textId="77777777" w:rsidR="00651C60" w:rsidRPr="00DE22B9" w:rsidRDefault="00651C60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Hospitales Federales de Referencia</w:t>
            </w:r>
          </w:p>
        </w:tc>
      </w:tr>
      <w:tr w:rsidR="00651C60" w:rsidRPr="00651C60" w14:paraId="5F5FB7B0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F593" w14:textId="77777777" w:rsidR="00651C60" w:rsidRPr="00DE22B9" w:rsidRDefault="00651C60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CED6" w14:textId="77777777" w:rsidR="00651C60" w:rsidRPr="00DE22B9" w:rsidRDefault="00651C60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Servicios de Atención Psiquiátrica</w:t>
            </w:r>
          </w:p>
        </w:tc>
      </w:tr>
      <w:tr w:rsidR="00651C60" w:rsidRPr="00651C60" w14:paraId="58BE10D2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D3DE" w14:textId="77777777" w:rsidR="00651C60" w:rsidRPr="00DE22B9" w:rsidRDefault="00651C60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F24B" w14:textId="77777777" w:rsidR="00651C60" w:rsidRPr="00DE22B9" w:rsidRDefault="00651C60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Hospitales Regionales de Alta Especialidad</w:t>
            </w:r>
          </w:p>
        </w:tc>
      </w:tr>
      <w:tr w:rsidR="00651C60" w:rsidRPr="00651C60" w14:paraId="24783B9D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E981F82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7CFD822F" w14:textId="0A31201B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IMSS-PROSPERA</w:t>
            </w:r>
            <w:r w:rsidR="00FF6F44"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 xml:space="preserve"> </w:t>
            </w:r>
            <w:r w:rsidR="00FF6F44" w:rsidRPr="00DE22B9">
              <w:rPr>
                <w:rFonts w:ascii="Montserrat" w:hAnsi="Montserrat" w:cs="Calibri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51C60" w:rsidRPr="00651C60" w14:paraId="2343779D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3393B74C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44EBC077" w14:textId="3A1E7AEA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 xml:space="preserve">Hospitales Universitarios </w:t>
            </w:r>
            <w:r w:rsidR="00FF6F44">
              <w:rPr>
                <w:rFonts w:ascii="Montserrat" w:hAnsi="Montserrat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651C60" w:rsidRPr="00651C60" w14:paraId="11162E25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E508877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290338B" w14:textId="77777777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Instituto Mexicano del Seguro Social (IMSS)</w:t>
            </w:r>
          </w:p>
        </w:tc>
      </w:tr>
      <w:tr w:rsidR="00651C60" w:rsidRPr="00651C60" w14:paraId="468B62D0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AF50255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446735E5" w14:textId="77777777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Instituto de Seguridad y Servicios Sociales de los Trabajadores del Estado (ISSSTE)</w:t>
            </w:r>
          </w:p>
        </w:tc>
      </w:tr>
      <w:tr w:rsidR="00651C60" w:rsidRPr="00651C60" w14:paraId="783A0EF6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C5AB07C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E31669A" w14:textId="77777777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Petróleos Mexicanos (PEMEX)</w:t>
            </w:r>
          </w:p>
        </w:tc>
      </w:tr>
      <w:tr w:rsidR="00651C60" w:rsidRPr="00651C60" w14:paraId="2948AC32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65CFEA8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8A266A6" w14:textId="77777777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Secretaría de la Defensa Nacional (SEDENA)</w:t>
            </w:r>
          </w:p>
        </w:tc>
      </w:tr>
      <w:tr w:rsidR="00651C60" w:rsidRPr="00651C60" w14:paraId="654430B0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402D55A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5BBFB9B5" w14:textId="77777777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Secretaría de Marina (SEMAR)</w:t>
            </w:r>
          </w:p>
        </w:tc>
      </w:tr>
      <w:tr w:rsidR="00651C60" w:rsidRPr="00651C60" w14:paraId="7889AA3E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40CCB46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79DEEF27" w14:textId="77777777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Sistema de Transporte Colectivo Metro (STC Metro)</w:t>
            </w:r>
          </w:p>
        </w:tc>
      </w:tr>
      <w:tr w:rsidR="00651C60" w:rsidRPr="00651C60" w14:paraId="4096F949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54550F1F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5E32092D" w14:textId="77777777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 xml:space="preserve">Servicios Médicos Estatales </w:t>
            </w:r>
            <w:r w:rsidRPr="00DE22B9">
              <w:rPr>
                <w:rFonts w:ascii="Montserrat" w:hAnsi="Montserrat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651C60" w:rsidRPr="00651C60" w14:paraId="59468993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7AE63B9C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D89C48F" w14:textId="77777777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Sistema Nacional para el Desarrollo Integral de la Familia (DIF)</w:t>
            </w:r>
          </w:p>
        </w:tc>
      </w:tr>
      <w:tr w:rsidR="00651C60" w:rsidRPr="00651C60" w14:paraId="71E185BF" w14:textId="77777777" w:rsidTr="00651C60">
        <w:trPr>
          <w:trHeight w:val="251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218AE56" w14:textId="77777777" w:rsidR="00651C60" w:rsidRPr="00DE22B9" w:rsidRDefault="00651C60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7E4DC3B" w14:textId="77777777" w:rsidR="00651C60" w:rsidRPr="00DE22B9" w:rsidRDefault="00651C60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Secretaría de Comunicaciones y Transportes (SCT)</w:t>
            </w:r>
          </w:p>
        </w:tc>
      </w:tr>
    </w:tbl>
    <w:p w14:paraId="4AA2553D" w14:textId="53D22249" w:rsidR="00994AE0" w:rsidRDefault="003C38D0" w:rsidP="00994AE0">
      <w:pPr>
        <w:ind w:left="851" w:right="849" w:hanging="131"/>
        <w:jc w:val="both"/>
        <w:rPr>
          <w:rFonts w:ascii="Montserrat" w:hAnsi="Montserrat" w:cs="Arial"/>
          <w:bCs/>
          <w:sz w:val="16"/>
          <w:szCs w:val="16"/>
          <w:lang w:val="es-MX"/>
        </w:rPr>
      </w:pPr>
      <w:r w:rsidRPr="001B610A">
        <w:rPr>
          <w:rFonts w:ascii="Montserrat" w:hAnsi="Montserrat" w:cs="Arial"/>
          <w:bCs/>
          <w:sz w:val="16"/>
          <w:szCs w:val="16"/>
          <w:lang w:val="es-MX"/>
        </w:rPr>
        <w:t>1</w:t>
      </w:r>
      <w:r w:rsidR="00797B0F" w:rsidRPr="001B610A">
        <w:rPr>
          <w:rFonts w:ascii="Montserrat" w:hAnsi="Montserrat" w:cs="Arial"/>
          <w:bCs/>
          <w:sz w:val="16"/>
          <w:szCs w:val="16"/>
          <w:lang w:val="es-MX"/>
        </w:rPr>
        <w:t xml:space="preserve">/ </w:t>
      </w:r>
      <w:r w:rsidR="007653A7" w:rsidRPr="001B610A">
        <w:rPr>
          <w:rFonts w:ascii="Montserrat" w:hAnsi="Montserrat" w:cs="Arial"/>
          <w:bCs/>
          <w:sz w:val="16"/>
          <w:szCs w:val="16"/>
          <w:lang w:val="es-MX"/>
        </w:rPr>
        <w:t>La atención médica que se presta a la población inscrita en el Seguro Popular emplea la infraestructura y recursos de la Secretaría de Salud</w:t>
      </w:r>
      <w:r w:rsidR="00D34F1E" w:rsidRPr="001B610A">
        <w:rPr>
          <w:rFonts w:ascii="Montserrat" w:hAnsi="Montserrat" w:cs="Arial"/>
          <w:bCs/>
          <w:sz w:val="16"/>
          <w:szCs w:val="16"/>
          <w:lang w:val="es-MX"/>
        </w:rPr>
        <w:t>.</w:t>
      </w:r>
    </w:p>
    <w:p w14:paraId="3F7A282E" w14:textId="50B9E604" w:rsidR="00FF6F44" w:rsidRPr="001B610A" w:rsidRDefault="00FF6F44" w:rsidP="00994AE0">
      <w:pPr>
        <w:ind w:left="851" w:right="849" w:hanging="131"/>
        <w:jc w:val="both"/>
        <w:rPr>
          <w:rFonts w:ascii="Montserrat" w:hAnsi="Montserrat" w:cs="Arial"/>
          <w:bCs/>
          <w:sz w:val="16"/>
          <w:szCs w:val="16"/>
          <w:lang w:val="es-MX"/>
        </w:rPr>
      </w:pPr>
      <w:r>
        <w:rPr>
          <w:rFonts w:ascii="Montserrat" w:hAnsi="Montserrat" w:cs="Arial"/>
          <w:bCs/>
          <w:sz w:val="16"/>
          <w:szCs w:val="16"/>
          <w:lang w:val="es-MX"/>
        </w:rPr>
        <w:t>2/</w:t>
      </w:r>
      <w:r w:rsidR="00BD3F34" w:rsidRPr="00BD3F34">
        <w:rPr>
          <w:rFonts w:ascii="Montserrat" w:hAnsi="Montserrat" w:cs="Arial"/>
          <w:bCs/>
          <w:sz w:val="16"/>
          <w:szCs w:val="16"/>
          <w:lang w:val="es-MX"/>
        </w:rPr>
        <w:t>El 12 de diciembre de 2018, el Programa IMSS-PROSPERA se convierte en IMSS BIENESTAR, sin embargo, los recursos reportados en el Boletín DE recursos Humanos Físicos y Materiales pertenecen a la integración 2018 con vigor del 1 de enero al 31 de diciembre de ése año, por lo que se conserva la referencia a IMSS-PROSPERA.</w:t>
      </w:r>
    </w:p>
    <w:p w14:paraId="50ACF09B" w14:textId="40C15477" w:rsidR="00994AE0" w:rsidRPr="001B610A" w:rsidRDefault="00FF6F44" w:rsidP="00994AE0">
      <w:pPr>
        <w:ind w:left="720" w:right="849"/>
        <w:jc w:val="both"/>
        <w:rPr>
          <w:rFonts w:ascii="Montserrat" w:hAnsi="Montserrat" w:cs="Arial"/>
          <w:bCs/>
          <w:sz w:val="16"/>
          <w:szCs w:val="16"/>
          <w:lang w:val="es-MX"/>
        </w:rPr>
      </w:pPr>
      <w:r>
        <w:rPr>
          <w:rFonts w:ascii="Montserrat" w:hAnsi="Montserrat" w:cs="Arial"/>
          <w:bCs/>
          <w:sz w:val="16"/>
          <w:szCs w:val="16"/>
          <w:lang w:val="es-MX"/>
        </w:rPr>
        <w:t>3</w:t>
      </w:r>
      <w:r w:rsidR="003C38D0" w:rsidRPr="001B610A">
        <w:rPr>
          <w:rFonts w:ascii="Montserrat" w:hAnsi="Montserrat" w:cs="Arial"/>
          <w:bCs/>
          <w:sz w:val="16"/>
          <w:szCs w:val="16"/>
          <w:lang w:val="es-MX"/>
        </w:rPr>
        <w:t>/ Estas instituciones no reportaron información para este volumen.</w:t>
      </w:r>
    </w:p>
    <w:p w14:paraId="15975648" w14:textId="77777777" w:rsidR="00805D28" w:rsidRPr="001B610A" w:rsidRDefault="00805D28">
      <w:pPr>
        <w:ind w:left="720" w:right="849"/>
        <w:jc w:val="both"/>
        <w:rPr>
          <w:rFonts w:ascii="Montserrat" w:hAnsi="Montserrat" w:cs="Arial"/>
          <w:bCs/>
          <w:sz w:val="16"/>
          <w:szCs w:val="16"/>
          <w:lang w:val="es-MX"/>
        </w:rPr>
      </w:pPr>
    </w:p>
    <w:p w14:paraId="517A3D53" w14:textId="77777777" w:rsidR="00D015F0" w:rsidRDefault="00D015F0" w:rsidP="00A8537B">
      <w:pPr>
        <w:spacing w:line="276" w:lineRule="auto"/>
        <w:ind w:right="6"/>
        <w:jc w:val="both"/>
        <w:rPr>
          <w:rFonts w:ascii="Montserrat" w:hAnsi="Montserrat" w:cs="Arial"/>
          <w:sz w:val="20"/>
          <w:szCs w:val="20"/>
          <w:lang w:val="es-MX"/>
        </w:rPr>
      </w:pPr>
    </w:p>
    <w:p w14:paraId="69D5D82D" w14:textId="77777777" w:rsidR="001F1F00" w:rsidRPr="00AE5531" w:rsidRDefault="00DC69E5" w:rsidP="00A8537B">
      <w:pPr>
        <w:spacing w:line="276" w:lineRule="auto"/>
        <w:ind w:right="6"/>
        <w:jc w:val="both"/>
        <w:rPr>
          <w:rFonts w:ascii="Montserrat" w:hAnsi="Montserrat" w:cs="Arial"/>
          <w:sz w:val="20"/>
          <w:szCs w:val="20"/>
          <w:lang w:val="es-MX"/>
        </w:rPr>
      </w:pPr>
      <w:r w:rsidRPr="00AE5531">
        <w:rPr>
          <w:rFonts w:ascii="Montserrat" w:hAnsi="Montserrat" w:cs="Arial"/>
          <w:sz w:val="20"/>
          <w:szCs w:val="20"/>
          <w:lang w:val="es-MX"/>
        </w:rPr>
        <w:t>Los recursos de la Secretarí</w:t>
      </w:r>
      <w:r w:rsidR="00E11CBF" w:rsidRPr="00AE5531">
        <w:rPr>
          <w:rFonts w:ascii="Montserrat" w:hAnsi="Montserrat" w:cs="Arial"/>
          <w:sz w:val="20"/>
          <w:szCs w:val="20"/>
          <w:lang w:val="es-MX"/>
        </w:rPr>
        <w:t xml:space="preserve">a de Salud </w:t>
      </w:r>
      <w:r w:rsidR="00F06687" w:rsidRPr="00AE5531">
        <w:rPr>
          <w:rFonts w:ascii="Montserrat" w:hAnsi="Montserrat" w:cs="Arial"/>
          <w:sz w:val="20"/>
          <w:szCs w:val="20"/>
          <w:lang w:val="es-MX"/>
        </w:rPr>
        <w:t>incluyen</w:t>
      </w:r>
      <w:r w:rsidR="006364B3" w:rsidRPr="00AE5531">
        <w:rPr>
          <w:rFonts w:ascii="Montserrat" w:hAnsi="Montserrat" w:cs="Arial"/>
          <w:sz w:val="20"/>
          <w:szCs w:val="20"/>
          <w:lang w:val="es-MX"/>
        </w:rPr>
        <w:t xml:space="preserve"> a los</w:t>
      </w:r>
      <w:r w:rsidR="00F06687" w:rsidRPr="00AE5531">
        <w:rPr>
          <w:rFonts w:ascii="Montserrat" w:hAnsi="Montserrat" w:cs="Arial"/>
          <w:sz w:val="20"/>
          <w:szCs w:val="20"/>
          <w:lang w:val="es-MX"/>
        </w:rPr>
        <w:t xml:space="preserve"> Servicios Estatales de Salud, los</w:t>
      </w:r>
      <w:r w:rsidR="006364B3" w:rsidRPr="00AE5531">
        <w:rPr>
          <w:rFonts w:ascii="Montserrat" w:hAnsi="Montserrat" w:cs="Arial"/>
          <w:sz w:val="20"/>
          <w:szCs w:val="20"/>
          <w:lang w:val="es-MX"/>
        </w:rPr>
        <w:t xml:space="preserve"> Institutos Nacionales </w:t>
      </w:r>
      <w:r w:rsidR="00E952A0" w:rsidRPr="00AE5531">
        <w:rPr>
          <w:rFonts w:ascii="Montserrat" w:hAnsi="Montserrat" w:cs="Arial"/>
          <w:sz w:val="20"/>
          <w:szCs w:val="20"/>
          <w:lang w:val="es-MX"/>
        </w:rPr>
        <w:t>(INSALUD)</w:t>
      </w:r>
      <w:r w:rsidR="00876B1D" w:rsidRPr="00AE5531">
        <w:rPr>
          <w:rFonts w:ascii="Montserrat" w:hAnsi="Montserrat" w:cs="Arial"/>
          <w:sz w:val="20"/>
          <w:szCs w:val="20"/>
          <w:lang w:val="es-MX"/>
        </w:rPr>
        <w:t>,</w:t>
      </w:r>
      <w:r w:rsidR="006364B3" w:rsidRPr="00AE5531">
        <w:rPr>
          <w:rFonts w:ascii="Montserrat" w:hAnsi="Montserrat" w:cs="Arial"/>
          <w:sz w:val="20"/>
          <w:szCs w:val="20"/>
          <w:lang w:val="es-MX"/>
        </w:rPr>
        <w:t xml:space="preserve"> los Hospitales Federales de Referencia</w:t>
      </w:r>
      <w:r w:rsidR="00E952A0" w:rsidRPr="00AE5531">
        <w:rPr>
          <w:rFonts w:ascii="Montserrat" w:hAnsi="Montserrat" w:cs="Arial"/>
          <w:sz w:val="20"/>
          <w:szCs w:val="20"/>
          <w:lang w:val="es-MX"/>
        </w:rPr>
        <w:t xml:space="preserve"> (HFR)</w:t>
      </w:r>
      <w:r w:rsidR="00976475" w:rsidRPr="00AE5531">
        <w:rPr>
          <w:rFonts w:ascii="Montserrat" w:hAnsi="Montserrat" w:cs="Arial"/>
          <w:sz w:val="20"/>
          <w:szCs w:val="20"/>
          <w:lang w:val="es-MX"/>
        </w:rPr>
        <w:t>,</w:t>
      </w:r>
      <w:r w:rsidR="00166121" w:rsidRPr="00AE5531">
        <w:rPr>
          <w:rFonts w:ascii="Montserrat" w:hAnsi="Montserrat" w:cs="Arial"/>
          <w:sz w:val="20"/>
          <w:szCs w:val="20"/>
          <w:lang w:val="es-MX"/>
        </w:rPr>
        <w:t xml:space="preserve"> </w:t>
      </w:r>
      <w:r w:rsidR="003D14E6" w:rsidRPr="00AE5531">
        <w:rPr>
          <w:rFonts w:ascii="Montserrat" w:hAnsi="Montserrat" w:cs="Arial"/>
          <w:sz w:val="20"/>
          <w:szCs w:val="20"/>
          <w:lang w:val="es-MX"/>
        </w:rPr>
        <w:t xml:space="preserve">los </w:t>
      </w:r>
      <w:r w:rsidR="00876B1D" w:rsidRPr="00AE5531">
        <w:rPr>
          <w:rFonts w:ascii="Montserrat" w:hAnsi="Montserrat" w:cs="Arial"/>
          <w:sz w:val="20"/>
          <w:szCs w:val="20"/>
          <w:lang w:val="es-MX"/>
        </w:rPr>
        <w:t>Servicios</w:t>
      </w:r>
      <w:r w:rsidR="003D14E6" w:rsidRPr="00AE5531">
        <w:rPr>
          <w:rFonts w:ascii="Montserrat" w:hAnsi="Montserrat" w:cs="Arial"/>
          <w:sz w:val="20"/>
          <w:szCs w:val="20"/>
          <w:lang w:val="es-MX"/>
        </w:rPr>
        <w:t xml:space="preserve"> de Atención Psiquiátrica</w:t>
      </w:r>
      <w:r w:rsidR="00570236" w:rsidRPr="00AE5531">
        <w:rPr>
          <w:rFonts w:ascii="Montserrat" w:hAnsi="Montserrat" w:cs="Arial"/>
          <w:sz w:val="20"/>
          <w:szCs w:val="20"/>
          <w:lang w:val="es-MX"/>
        </w:rPr>
        <w:t xml:space="preserve"> (SAP)</w:t>
      </w:r>
      <w:r w:rsidR="00166121" w:rsidRPr="00AE5531">
        <w:rPr>
          <w:rFonts w:ascii="Montserrat" w:hAnsi="Montserrat" w:cs="Arial"/>
          <w:sz w:val="20"/>
          <w:szCs w:val="20"/>
          <w:lang w:val="es-MX"/>
        </w:rPr>
        <w:t xml:space="preserve"> </w:t>
      </w:r>
      <w:r w:rsidR="00876B1D" w:rsidRPr="00AE5531">
        <w:rPr>
          <w:rFonts w:ascii="Montserrat" w:hAnsi="Montserrat" w:cs="Arial"/>
          <w:sz w:val="20"/>
          <w:szCs w:val="20"/>
          <w:lang w:val="es-MX"/>
        </w:rPr>
        <w:t>y los Hospitales Regionales de Alta Especialidad</w:t>
      </w:r>
      <w:r w:rsidR="00570236" w:rsidRPr="00AE5531">
        <w:rPr>
          <w:rFonts w:ascii="Montserrat" w:hAnsi="Montserrat" w:cs="Arial"/>
          <w:sz w:val="20"/>
          <w:szCs w:val="20"/>
          <w:lang w:val="es-MX"/>
        </w:rPr>
        <w:t xml:space="preserve"> (</w:t>
      </w:r>
      <w:r w:rsidR="00E67BAE" w:rsidRPr="00AE5531">
        <w:rPr>
          <w:rFonts w:ascii="Montserrat" w:hAnsi="Montserrat" w:cs="Arial"/>
          <w:sz w:val="20"/>
          <w:szCs w:val="20"/>
          <w:lang w:val="es-MX"/>
        </w:rPr>
        <w:t>HRAE)</w:t>
      </w:r>
      <w:r w:rsidR="00166121" w:rsidRPr="00AE5531">
        <w:rPr>
          <w:rFonts w:ascii="Montserrat" w:hAnsi="Montserrat" w:cs="Arial"/>
          <w:sz w:val="20"/>
          <w:szCs w:val="20"/>
          <w:lang w:val="es-MX"/>
        </w:rPr>
        <w:t xml:space="preserve"> </w:t>
      </w:r>
      <w:r w:rsidR="00976475" w:rsidRPr="00AE5531">
        <w:rPr>
          <w:rFonts w:ascii="Montserrat" w:hAnsi="Montserrat" w:cs="Arial"/>
          <w:sz w:val="20"/>
          <w:szCs w:val="20"/>
          <w:lang w:val="es-MX"/>
        </w:rPr>
        <w:t>(véase cuadro 2).</w:t>
      </w:r>
    </w:p>
    <w:p w14:paraId="00D5116A" w14:textId="77777777" w:rsidR="00805D28" w:rsidRPr="001B610A" w:rsidRDefault="00805D28">
      <w:pPr>
        <w:rPr>
          <w:rFonts w:ascii="Montserrat" w:hAnsi="Montserrat" w:cs="Arial"/>
          <w:b/>
          <w:sz w:val="18"/>
          <w:szCs w:val="18"/>
          <w:lang w:val="es-MX"/>
        </w:rPr>
      </w:pPr>
      <w:r w:rsidRPr="001B610A">
        <w:rPr>
          <w:rFonts w:ascii="Montserrat" w:hAnsi="Montserrat" w:cs="Arial"/>
          <w:b/>
          <w:sz w:val="18"/>
          <w:szCs w:val="18"/>
          <w:lang w:val="es-MX"/>
        </w:rPr>
        <w:br w:type="page"/>
      </w:r>
    </w:p>
    <w:p w14:paraId="0909D306" w14:textId="77777777" w:rsidR="00805D28" w:rsidRPr="00AE5531" w:rsidRDefault="003D14E6" w:rsidP="00805D28">
      <w:pPr>
        <w:ind w:right="6"/>
        <w:jc w:val="center"/>
        <w:outlineLvl w:val="0"/>
        <w:rPr>
          <w:rFonts w:ascii="Montserrat" w:hAnsi="Montserrat" w:cs="Arial"/>
          <w:b/>
          <w:sz w:val="20"/>
          <w:szCs w:val="20"/>
          <w:lang w:val="es-MX"/>
        </w:rPr>
      </w:pPr>
      <w:r w:rsidRPr="00AE5531">
        <w:rPr>
          <w:rFonts w:ascii="Montserrat" w:hAnsi="Montserrat" w:cs="Arial"/>
          <w:b/>
          <w:sz w:val="20"/>
          <w:szCs w:val="20"/>
          <w:lang w:val="es-MX"/>
        </w:rPr>
        <w:lastRenderedPageBreak/>
        <w:t>Cuadro 2.</w:t>
      </w:r>
      <w:r w:rsidR="00E952A0" w:rsidRPr="00AE5531">
        <w:rPr>
          <w:rFonts w:ascii="Montserrat" w:hAnsi="Montserrat" w:cs="Arial"/>
          <w:b/>
          <w:sz w:val="20"/>
          <w:szCs w:val="20"/>
          <w:lang w:val="es-MX"/>
        </w:rPr>
        <w:t xml:space="preserve"> Unidades hospitalarias </w:t>
      </w:r>
    </w:p>
    <w:p w14:paraId="58F1338B" w14:textId="77777777" w:rsidR="006364B3" w:rsidRDefault="00E952A0" w:rsidP="00805D28">
      <w:pPr>
        <w:ind w:right="6"/>
        <w:jc w:val="center"/>
        <w:outlineLvl w:val="0"/>
        <w:rPr>
          <w:rFonts w:ascii="Montserrat" w:hAnsi="Montserrat" w:cs="Arial"/>
          <w:b/>
          <w:sz w:val="20"/>
          <w:szCs w:val="20"/>
          <w:lang w:val="es-MX"/>
        </w:rPr>
      </w:pPr>
      <w:proofErr w:type="gramStart"/>
      <w:r w:rsidRPr="00AE5531">
        <w:rPr>
          <w:rFonts w:ascii="Montserrat" w:hAnsi="Montserrat" w:cs="Arial"/>
          <w:b/>
          <w:sz w:val="20"/>
          <w:szCs w:val="20"/>
          <w:lang w:val="es-MX"/>
        </w:rPr>
        <w:t>de</w:t>
      </w:r>
      <w:proofErr w:type="gramEnd"/>
      <w:r w:rsidRPr="00AE5531">
        <w:rPr>
          <w:rFonts w:ascii="Montserrat" w:hAnsi="Montserrat" w:cs="Arial"/>
          <w:b/>
          <w:sz w:val="20"/>
          <w:szCs w:val="20"/>
          <w:lang w:val="es-MX"/>
        </w:rPr>
        <w:t xml:space="preserve"> INSALUD</w:t>
      </w:r>
      <w:r w:rsidR="00342ECE" w:rsidRPr="00AE5531">
        <w:rPr>
          <w:rFonts w:ascii="Montserrat" w:hAnsi="Montserrat" w:cs="Arial"/>
          <w:b/>
          <w:sz w:val="20"/>
          <w:szCs w:val="20"/>
          <w:lang w:val="es-MX"/>
        </w:rPr>
        <w:t>,</w:t>
      </w:r>
      <w:r w:rsidRPr="00AE5531">
        <w:rPr>
          <w:rFonts w:ascii="Montserrat" w:hAnsi="Montserrat" w:cs="Arial"/>
          <w:b/>
          <w:sz w:val="20"/>
          <w:szCs w:val="20"/>
          <w:lang w:val="es-MX"/>
        </w:rPr>
        <w:t xml:space="preserve"> HFR</w:t>
      </w:r>
      <w:r w:rsidR="00342ECE" w:rsidRPr="00AE5531">
        <w:rPr>
          <w:rFonts w:ascii="Montserrat" w:hAnsi="Montserrat" w:cs="Arial"/>
          <w:b/>
          <w:sz w:val="20"/>
          <w:szCs w:val="20"/>
          <w:lang w:val="es-MX"/>
        </w:rPr>
        <w:t>, SAP y HRAE</w:t>
      </w:r>
    </w:p>
    <w:p w14:paraId="598F698D" w14:textId="77777777" w:rsidR="00D015F0" w:rsidRPr="00AE5531" w:rsidRDefault="00D015F0" w:rsidP="00805D28">
      <w:pPr>
        <w:ind w:right="6"/>
        <w:jc w:val="center"/>
        <w:outlineLvl w:val="0"/>
        <w:rPr>
          <w:rFonts w:ascii="Montserrat" w:hAnsi="Montserrat" w:cs="Arial"/>
          <w:b/>
          <w:sz w:val="20"/>
          <w:szCs w:val="20"/>
          <w:lang w:val="es-MX"/>
        </w:rPr>
      </w:pPr>
    </w:p>
    <w:tbl>
      <w:tblPr>
        <w:tblW w:w="58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6"/>
      </w:tblGrid>
      <w:tr w:rsidR="00B30DC7" w14:paraId="7649E7CB" w14:textId="77777777" w:rsidTr="00D015F0">
        <w:trPr>
          <w:trHeight w:val="539"/>
          <w:jc w:val="center"/>
        </w:trPr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85C4D" w:themeFill="accent1"/>
            <w:noWrap/>
            <w:vAlign w:val="center"/>
            <w:hideMark/>
          </w:tcPr>
          <w:p w14:paraId="734D4480" w14:textId="77777777" w:rsidR="00B30DC7" w:rsidRDefault="00B30DC7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>
              <w:rPr>
                <w:rFonts w:ascii="Montserrat" w:hAnsi="Montserrat" w:cs="Arial"/>
                <w:b/>
                <w:bCs/>
                <w:color w:val="FFFFFF"/>
                <w:sz w:val="18"/>
                <w:szCs w:val="18"/>
              </w:rPr>
              <w:t>Institutos Nacionales de Salud (INSALUD)</w:t>
            </w:r>
          </w:p>
        </w:tc>
      </w:tr>
      <w:tr w:rsidR="00B30DC7" w14:paraId="353970B7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5C59" w14:textId="1BCB98F8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Infantil De México Federico Gómez</w:t>
            </w:r>
          </w:p>
        </w:tc>
      </w:tr>
      <w:tr w:rsidR="00B30DC7" w14:paraId="31A8BED6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E0AA" w14:textId="6E8A836A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Instituto Nacional De Cancerología</w:t>
            </w:r>
          </w:p>
        </w:tc>
      </w:tr>
      <w:tr w:rsidR="00B30DC7" w14:paraId="794D7078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F2EE" w14:textId="05853114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Instituto Nacional De Cardiología Ignacio Chávez</w:t>
            </w:r>
          </w:p>
        </w:tc>
      </w:tr>
      <w:tr w:rsidR="00B30DC7" w14:paraId="087BFF3D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ADE5" w14:textId="7F767D44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Instituto Nacional De Ciencias Médicas Y Nutrición Salvador Zubirán</w:t>
            </w:r>
          </w:p>
        </w:tc>
      </w:tr>
      <w:tr w:rsidR="00B30DC7" w14:paraId="268B2628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80DC" w14:textId="3709F410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Arial"/>
                <w:color w:val="000000"/>
                <w:sz w:val="16"/>
                <w:szCs w:val="16"/>
              </w:rPr>
              <w:t>Instituto Nacional De Enfermedades Respiratorias Ismael Cosío Villegas</w:t>
            </w:r>
          </w:p>
        </w:tc>
      </w:tr>
      <w:tr w:rsidR="00B30DC7" w14:paraId="0FFCF99E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82C8" w14:textId="5A91636D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Arial"/>
                <w:color w:val="000000"/>
                <w:sz w:val="16"/>
                <w:szCs w:val="16"/>
              </w:rPr>
              <w:t>Instituto Nacional De Neurología Y Neurocirugía Manuel Velasco Suárez</w:t>
            </w:r>
          </w:p>
        </w:tc>
      </w:tr>
      <w:tr w:rsidR="00B30DC7" w14:paraId="762DE323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D665" w14:textId="1D2837BC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Arial"/>
                <w:color w:val="000000"/>
                <w:sz w:val="16"/>
                <w:szCs w:val="16"/>
              </w:rPr>
              <w:t>Instituto Nacional De Pediatría</w:t>
            </w:r>
          </w:p>
        </w:tc>
      </w:tr>
      <w:tr w:rsidR="00B30DC7" w14:paraId="2F017A57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BF0F" w14:textId="2BBB4808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Arial"/>
                <w:color w:val="000000"/>
                <w:sz w:val="16"/>
                <w:szCs w:val="16"/>
              </w:rPr>
              <w:t>Instituto Nacional De Perinatología Isidro Espinosa De Los Reyes</w:t>
            </w:r>
          </w:p>
        </w:tc>
      </w:tr>
      <w:tr w:rsidR="00B30DC7" w14:paraId="50D103D1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37EA" w14:textId="522C0F83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Arial"/>
                <w:color w:val="000000"/>
                <w:sz w:val="16"/>
                <w:szCs w:val="16"/>
              </w:rPr>
              <w:t>Instituto Nacional De Rehabilitación</w:t>
            </w:r>
          </w:p>
        </w:tc>
      </w:tr>
      <w:tr w:rsidR="00B30DC7" w14:paraId="0B76AD86" w14:textId="77777777" w:rsidTr="00D015F0">
        <w:trPr>
          <w:trHeight w:val="543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85C4D" w:themeFill="accent1"/>
            <w:noWrap/>
            <w:vAlign w:val="center"/>
            <w:hideMark/>
          </w:tcPr>
          <w:p w14:paraId="7D8C53C5" w14:textId="77777777" w:rsidR="00B30DC7" w:rsidRDefault="00B30DC7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Montserrat" w:hAnsi="Montserrat" w:cs="Arial"/>
                <w:b/>
                <w:bCs/>
                <w:color w:val="FFFFFF"/>
                <w:sz w:val="18"/>
                <w:szCs w:val="18"/>
              </w:rPr>
              <w:t xml:space="preserve">Hospitales Federales de Referencia (HFR) </w:t>
            </w:r>
          </w:p>
        </w:tc>
      </w:tr>
      <w:tr w:rsidR="00B30DC7" w14:paraId="024DA755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9205" w14:textId="07F5DFAF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De La Mujer</w:t>
            </w:r>
          </w:p>
        </w:tc>
      </w:tr>
      <w:tr w:rsidR="00B30DC7" w14:paraId="746F586C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0F5D" w14:textId="66C7EC1E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General De México</w:t>
            </w:r>
          </w:p>
        </w:tc>
      </w:tr>
      <w:tr w:rsidR="00B30DC7" w14:paraId="0FCE142E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1EE4" w14:textId="6466E092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General Dr. Manuel Gea González</w:t>
            </w:r>
          </w:p>
        </w:tc>
      </w:tr>
      <w:tr w:rsidR="00B30DC7" w14:paraId="55BB136F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EC38" w14:textId="0449A25E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Juárez De México</w:t>
            </w:r>
          </w:p>
        </w:tc>
      </w:tr>
      <w:tr w:rsidR="00B30DC7" w14:paraId="6F1A13ED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632B" w14:textId="06C6BB4D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Nacional Homeopático</w:t>
            </w:r>
          </w:p>
        </w:tc>
      </w:tr>
      <w:tr w:rsidR="00B30DC7" w14:paraId="57BEFB7F" w14:textId="77777777" w:rsidTr="00D015F0">
        <w:trPr>
          <w:trHeight w:val="484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85C4D" w:themeFill="accent1"/>
            <w:noWrap/>
            <w:vAlign w:val="center"/>
            <w:hideMark/>
          </w:tcPr>
          <w:p w14:paraId="567B6AD9" w14:textId="77777777" w:rsidR="00B30DC7" w:rsidRDefault="00B30DC7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Montserrat" w:hAnsi="Montserrat" w:cs="Arial"/>
                <w:b/>
                <w:bCs/>
                <w:color w:val="FFFFFF"/>
                <w:sz w:val="18"/>
                <w:szCs w:val="18"/>
              </w:rPr>
              <w:t>Servicios de Atención Psiquiátrica (SAP)</w:t>
            </w:r>
          </w:p>
        </w:tc>
      </w:tr>
      <w:tr w:rsidR="00B30DC7" w14:paraId="595E04C7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09DB" w14:textId="19AD997D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Arial"/>
                <w:color w:val="000000"/>
                <w:sz w:val="16"/>
                <w:szCs w:val="16"/>
              </w:rPr>
              <w:t>Hospital Psiquiátrico Dr. Juan N. Navarro</w:t>
            </w:r>
          </w:p>
        </w:tc>
      </w:tr>
      <w:tr w:rsidR="00B30DC7" w14:paraId="5FFC1D38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278E" w14:textId="1BF618B5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Psiquiátrico Dr. Samuel Ramírez Moreno</w:t>
            </w:r>
          </w:p>
        </w:tc>
      </w:tr>
      <w:tr w:rsidR="00B30DC7" w14:paraId="3C637057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D4BE" w14:textId="6DE72711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Arial"/>
                <w:color w:val="000000"/>
                <w:sz w:val="16"/>
                <w:szCs w:val="16"/>
              </w:rPr>
              <w:t>Hospital Psiquiátrico Fray Bernardino Álvarez</w:t>
            </w:r>
          </w:p>
        </w:tc>
      </w:tr>
      <w:tr w:rsidR="00B30DC7" w14:paraId="2C5C8C38" w14:textId="77777777" w:rsidTr="00D015F0">
        <w:trPr>
          <w:trHeight w:val="589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85C4D" w:themeFill="accent1"/>
            <w:noWrap/>
            <w:vAlign w:val="center"/>
            <w:hideMark/>
          </w:tcPr>
          <w:p w14:paraId="4DD981FC" w14:textId="77777777" w:rsidR="00B30DC7" w:rsidRDefault="00B30DC7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Montserrat" w:hAnsi="Montserrat" w:cs="Arial"/>
                <w:b/>
                <w:bCs/>
                <w:color w:val="FFFFFF"/>
                <w:sz w:val="18"/>
                <w:szCs w:val="18"/>
              </w:rPr>
              <w:t>Hospitales Regionales de Alta Especialidad (HRAE)</w:t>
            </w:r>
          </w:p>
        </w:tc>
      </w:tr>
      <w:tr w:rsidR="00B30DC7" w14:paraId="351F2D95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1ADB" w14:textId="583EE773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De Especialidades Pediátricas</w:t>
            </w:r>
          </w:p>
        </w:tc>
      </w:tr>
      <w:tr w:rsidR="00B30DC7" w14:paraId="7C7D2836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87DF" w14:textId="7F779B0F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De La Mujer</w:t>
            </w:r>
          </w:p>
        </w:tc>
      </w:tr>
      <w:tr w:rsidR="00B30DC7" w14:paraId="0E5160F5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9447" w14:textId="386A735C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Del Niño Morelense</w:t>
            </w:r>
          </w:p>
        </w:tc>
      </w:tr>
      <w:tr w:rsidR="00B30DC7" w14:paraId="41EC955E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3F77" w14:textId="6A1273D4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Del Niño Y La Mujer Dr. Alberto López Hermosa</w:t>
            </w:r>
          </w:p>
        </w:tc>
      </w:tr>
      <w:tr w:rsidR="00B30DC7" w14:paraId="09F2BA33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0886" w14:textId="51313216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Regional De Alta Especialidad Ciudad Salud</w:t>
            </w:r>
          </w:p>
        </w:tc>
      </w:tr>
      <w:tr w:rsidR="00B30DC7" w14:paraId="4021D1A1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EEE0" w14:textId="38B00669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Regional De Alta Especialidad De La Península De Yucatán</w:t>
            </w:r>
          </w:p>
        </w:tc>
      </w:tr>
      <w:tr w:rsidR="00B30DC7" w14:paraId="3586F2CD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E78D" w14:textId="1FE0140E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Regional De Alta Especialidad De Oaxaca</w:t>
            </w:r>
          </w:p>
        </w:tc>
      </w:tr>
      <w:tr w:rsidR="00B30DC7" w14:paraId="254E30B9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6F94" w14:textId="7347F61D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Regional De Alta Especialidad Del Bajío</w:t>
            </w:r>
          </w:p>
        </w:tc>
      </w:tr>
      <w:tr w:rsidR="00B30DC7" w14:paraId="4E21E6B1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E646" w14:textId="327EB894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Regional De Alta Especialidad En Cd Victoria Bicentenario 2010</w:t>
            </w:r>
          </w:p>
        </w:tc>
      </w:tr>
      <w:tr w:rsidR="00B30DC7" w14:paraId="4B6A5CF9" w14:textId="77777777" w:rsidTr="00B30DC7">
        <w:trPr>
          <w:trHeight w:val="261"/>
          <w:jc w:val="center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F749" w14:textId="2546AE98" w:rsidR="00B30DC7" w:rsidRPr="00B30DC7" w:rsidRDefault="00B30DC7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B30DC7">
              <w:rPr>
                <w:rFonts w:ascii="Montserrat" w:hAnsi="Montserrat" w:cs="Calibri"/>
                <w:color w:val="000000"/>
                <w:sz w:val="16"/>
                <w:szCs w:val="16"/>
              </w:rPr>
              <w:t>Hospital Regional De Alta Especialidad Ixtapaluca</w:t>
            </w:r>
          </w:p>
        </w:tc>
      </w:tr>
    </w:tbl>
    <w:p w14:paraId="586118BD" w14:textId="77777777" w:rsidR="00E11CBF" w:rsidRDefault="00E11CBF" w:rsidP="00B30DC7">
      <w:pPr>
        <w:spacing w:line="360" w:lineRule="auto"/>
        <w:ind w:right="6"/>
        <w:rPr>
          <w:rFonts w:ascii="Montserrat" w:hAnsi="Montserrat" w:cs="Arial"/>
          <w:sz w:val="16"/>
          <w:szCs w:val="16"/>
        </w:rPr>
      </w:pPr>
    </w:p>
    <w:p w14:paraId="53A468BA" w14:textId="77777777" w:rsidR="00D015F0" w:rsidRDefault="00D015F0" w:rsidP="00B30DC7">
      <w:pPr>
        <w:spacing w:line="360" w:lineRule="auto"/>
        <w:ind w:right="6"/>
        <w:rPr>
          <w:rFonts w:ascii="Montserrat" w:hAnsi="Montserrat" w:cs="Arial"/>
          <w:sz w:val="16"/>
          <w:szCs w:val="16"/>
        </w:rPr>
      </w:pPr>
    </w:p>
    <w:p w14:paraId="655296C3" w14:textId="77777777" w:rsidR="00D015F0" w:rsidRDefault="00D015F0" w:rsidP="00B30DC7">
      <w:pPr>
        <w:spacing w:line="360" w:lineRule="auto"/>
        <w:ind w:right="6"/>
        <w:rPr>
          <w:rFonts w:ascii="Montserrat" w:hAnsi="Montserrat" w:cs="Arial"/>
          <w:sz w:val="16"/>
          <w:szCs w:val="16"/>
        </w:rPr>
      </w:pPr>
    </w:p>
    <w:p w14:paraId="2C6EA5F6" w14:textId="77777777" w:rsidR="00D015F0" w:rsidRDefault="00D015F0" w:rsidP="00B30DC7">
      <w:pPr>
        <w:spacing w:line="360" w:lineRule="auto"/>
        <w:ind w:right="6"/>
        <w:rPr>
          <w:rFonts w:ascii="Montserrat" w:hAnsi="Montserrat" w:cs="Arial"/>
          <w:sz w:val="16"/>
          <w:szCs w:val="16"/>
        </w:rPr>
      </w:pPr>
    </w:p>
    <w:p w14:paraId="2BE19028" w14:textId="77777777" w:rsidR="00D015F0" w:rsidRDefault="00D015F0" w:rsidP="00B30DC7">
      <w:pPr>
        <w:spacing w:line="360" w:lineRule="auto"/>
        <w:ind w:right="6"/>
        <w:rPr>
          <w:rFonts w:ascii="Montserrat" w:hAnsi="Montserrat" w:cs="Arial"/>
          <w:sz w:val="16"/>
          <w:szCs w:val="16"/>
        </w:rPr>
      </w:pPr>
    </w:p>
    <w:p w14:paraId="07641471" w14:textId="77777777" w:rsidR="00D015F0" w:rsidRDefault="00D015F0" w:rsidP="00B30DC7">
      <w:pPr>
        <w:spacing w:line="360" w:lineRule="auto"/>
        <w:ind w:right="6"/>
        <w:rPr>
          <w:rFonts w:ascii="Montserrat" w:hAnsi="Montserrat" w:cs="Arial"/>
          <w:sz w:val="16"/>
          <w:szCs w:val="16"/>
        </w:rPr>
      </w:pPr>
    </w:p>
    <w:p w14:paraId="2570F896" w14:textId="77777777" w:rsidR="00D015F0" w:rsidRPr="001B610A" w:rsidRDefault="00D015F0" w:rsidP="00B30DC7">
      <w:pPr>
        <w:spacing w:line="360" w:lineRule="auto"/>
        <w:ind w:right="6"/>
        <w:rPr>
          <w:rFonts w:ascii="Montserrat" w:hAnsi="Montserrat" w:cs="Arial"/>
          <w:sz w:val="16"/>
          <w:szCs w:val="16"/>
        </w:rPr>
      </w:pPr>
    </w:p>
    <w:p w14:paraId="1F8EBB84" w14:textId="77777777" w:rsidR="00D015F0" w:rsidRDefault="00D015F0" w:rsidP="008E0B2F">
      <w:pPr>
        <w:spacing w:line="276" w:lineRule="auto"/>
        <w:ind w:right="6"/>
        <w:jc w:val="both"/>
        <w:rPr>
          <w:rFonts w:ascii="Montserrat" w:hAnsi="Montserrat" w:cs="Arial"/>
          <w:sz w:val="20"/>
          <w:szCs w:val="20"/>
          <w:lang w:val="es-MX"/>
        </w:rPr>
      </w:pPr>
    </w:p>
    <w:p w14:paraId="13F7CCFD" w14:textId="3A927491" w:rsidR="00557FB4" w:rsidRPr="001B610A" w:rsidRDefault="00D754AC" w:rsidP="008E0B2F">
      <w:pPr>
        <w:spacing w:line="276" w:lineRule="auto"/>
        <w:ind w:right="6"/>
        <w:jc w:val="both"/>
        <w:rPr>
          <w:rFonts w:ascii="Montserrat" w:hAnsi="Montserrat" w:cs="Arial"/>
          <w:b/>
          <w:bCs/>
          <w:sz w:val="16"/>
          <w:szCs w:val="16"/>
          <w:lang w:val="es-MX"/>
        </w:rPr>
      </w:pPr>
      <w:r w:rsidRPr="00AE5531">
        <w:rPr>
          <w:rFonts w:ascii="Montserrat" w:hAnsi="Montserrat" w:cs="Arial"/>
          <w:sz w:val="20"/>
          <w:szCs w:val="20"/>
          <w:lang w:val="es-MX"/>
        </w:rPr>
        <w:lastRenderedPageBreak/>
        <w:t>La información para l</w:t>
      </w:r>
      <w:r w:rsidR="00F06559" w:rsidRPr="00AE5531">
        <w:rPr>
          <w:rFonts w:ascii="Montserrat" w:hAnsi="Montserrat" w:cs="Arial"/>
          <w:bCs/>
          <w:sz w:val="20"/>
          <w:szCs w:val="20"/>
          <w:lang w:val="es-MX"/>
        </w:rPr>
        <w:t>os Hospitales Universitarios</w:t>
      </w:r>
      <w:r w:rsidRPr="00AE5531">
        <w:rPr>
          <w:rFonts w:ascii="Montserrat" w:hAnsi="Montserrat" w:cs="Arial"/>
          <w:bCs/>
          <w:sz w:val="20"/>
          <w:szCs w:val="20"/>
          <w:lang w:val="es-MX"/>
        </w:rPr>
        <w:t xml:space="preserve"> es reportada </w:t>
      </w:r>
      <w:r w:rsidR="000651FA" w:rsidRPr="00AE5531">
        <w:rPr>
          <w:rFonts w:ascii="Montserrat" w:hAnsi="Montserrat" w:cs="Arial"/>
          <w:bCs/>
          <w:sz w:val="20"/>
          <w:szCs w:val="20"/>
          <w:lang w:val="es-MX"/>
        </w:rPr>
        <w:t xml:space="preserve">por </w:t>
      </w:r>
      <w:r w:rsidR="002D5F87">
        <w:rPr>
          <w:rFonts w:ascii="Montserrat" w:hAnsi="Montserrat" w:cs="Arial"/>
          <w:bCs/>
          <w:sz w:val="20"/>
          <w:szCs w:val="20"/>
          <w:lang w:val="es-MX"/>
        </w:rPr>
        <w:t>16</w:t>
      </w:r>
      <w:r w:rsidR="00166121" w:rsidRPr="00AE5531">
        <w:rPr>
          <w:rFonts w:ascii="Montserrat" w:hAnsi="Montserrat" w:cs="Arial"/>
          <w:bCs/>
          <w:sz w:val="20"/>
          <w:szCs w:val="20"/>
          <w:lang w:val="es-MX"/>
        </w:rPr>
        <w:t xml:space="preserve"> </w:t>
      </w:r>
      <w:r w:rsidR="00050F9B" w:rsidRPr="00AE5531">
        <w:rPr>
          <w:rFonts w:ascii="Montserrat" w:hAnsi="Montserrat" w:cs="Arial"/>
          <w:bCs/>
          <w:sz w:val="20"/>
          <w:szCs w:val="20"/>
          <w:lang w:val="es-MX"/>
        </w:rPr>
        <w:t>unidades médicas</w:t>
      </w:r>
      <w:r w:rsidR="00166121" w:rsidRPr="00AE5531">
        <w:rPr>
          <w:rFonts w:ascii="Montserrat" w:hAnsi="Montserrat" w:cs="Arial"/>
          <w:bCs/>
          <w:sz w:val="20"/>
          <w:szCs w:val="20"/>
          <w:lang w:val="es-MX"/>
        </w:rPr>
        <w:t xml:space="preserve"> </w:t>
      </w:r>
      <w:r w:rsidR="00D015F0">
        <w:rPr>
          <w:rFonts w:ascii="Montserrat" w:hAnsi="Montserrat" w:cs="Arial"/>
          <w:bCs/>
          <w:sz w:val="20"/>
          <w:szCs w:val="20"/>
          <w:lang w:val="es-MX"/>
        </w:rPr>
        <w:t>(</w:t>
      </w:r>
      <w:r w:rsidRPr="00AE5531">
        <w:rPr>
          <w:rFonts w:ascii="Montserrat" w:hAnsi="Montserrat" w:cs="Arial"/>
          <w:bCs/>
          <w:sz w:val="20"/>
          <w:szCs w:val="20"/>
          <w:lang w:val="es-MX"/>
        </w:rPr>
        <w:t>cuadro 3).</w:t>
      </w:r>
    </w:p>
    <w:p w14:paraId="247FCA3F" w14:textId="77777777" w:rsidR="00D754AC" w:rsidRPr="00AE5531" w:rsidRDefault="00D754AC" w:rsidP="00805D28">
      <w:pPr>
        <w:spacing w:line="360" w:lineRule="auto"/>
        <w:ind w:right="6"/>
        <w:jc w:val="center"/>
        <w:outlineLvl w:val="0"/>
        <w:rPr>
          <w:rFonts w:ascii="Montserrat" w:hAnsi="Montserrat" w:cs="Arial"/>
          <w:b/>
          <w:bCs/>
          <w:sz w:val="20"/>
          <w:szCs w:val="20"/>
          <w:lang w:val="es-MX"/>
        </w:rPr>
      </w:pPr>
      <w:r w:rsidRPr="00AE5531">
        <w:rPr>
          <w:rFonts w:ascii="Montserrat" w:hAnsi="Montserrat" w:cs="Arial"/>
          <w:b/>
          <w:bCs/>
          <w:sz w:val="20"/>
          <w:szCs w:val="20"/>
          <w:lang w:val="es-MX"/>
        </w:rPr>
        <w:t>Cuadro 3.</w:t>
      </w:r>
      <w:r w:rsidR="00102FC9" w:rsidRPr="00AE5531">
        <w:rPr>
          <w:rFonts w:ascii="Montserrat" w:hAnsi="Montserrat" w:cs="Arial"/>
          <w:b/>
          <w:bCs/>
          <w:sz w:val="20"/>
          <w:szCs w:val="20"/>
          <w:lang w:val="es-MX"/>
        </w:rPr>
        <w:t xml:space="preserve"> </w:t>
      </w:r>
      <w:r w:rsidR="003D2A5B" w:rsidRPr="00AE5531">
        <w:rPr>
          <w:rFonts w:ascii="Montserrat" w:hAnsi="Montserrat" w:cs="Arial"/>
          <w:b/>
          <w:bCs/>
          <w:sz w:val="20"/>
          <w:szCs w:val="20"/>
          <w:lang w:val="es-MX"/>
        </w:rPr>
        <w:t>Establecimientos de salud u</w:t>
      </w:r>
      <w:r w:rsidR="00E172ED" w:rsidRPr="00AE5531">
        <w:rPr>
          <w:rFonts w:ascii="Montserrat" w:hAnsi="Montserrat" w:cs="Arial"/>
          <w:b/>
          <w:bCs/>
          <w:sz w:val="20"/>
          <w:szCs w:val="20"/>
          <w:lang w:val="es-MX"/>
        </w:rPr>
        <w:t>niversitarios</w:t>
      </w:r>
    </w:p>
    <w:tbl>
      <w:tblPr>
        <w:tblW w:w="96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21"/>
      </w:tblGrid>
      <w:tr w:rsidR="00DE22B9" w:rsidRPr="00DE22B9" w14:paraId="787E56D3" w14:textId="77777777" w:rsidTr="00D015F0">
        <w:trPr>
          <w:trHeight w:val="36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85C4D"/>
            <w:vAlign w:val="center"/>
            <w:hideMark/>
          </w:tcPr>
          <w:p w14:paraId="78EF7530" w14:textId="77777777" w:rsidR="00DE22B9" w:rsidRPr="00B30DC7" w:rsidRDefault="00DE22B9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B30DC7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Entidad Federativa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5C4D"/>
            <w:noWrap/>
            <w:vAlign w:val="center"/>
            <w:hideMark/>
          </w:tcPr>
          <w:p w14:paraId="156FAE4C" w14:textId="77777777" w:rsidR="00DE22B9" w:rsidRPr="00B30DC7" w:rsidRDefault="00DE22B9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 w:rsidRPr="00B30DC7"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Nombre de la Unidad</w:t>
            </w:r>
          </w:p>
        </w:tc>
      </w:tr>
      <w:tr w:rsidR="00DE22B9" w:rsidRPr="00DE22B9" w14:paraId="1AC0A764" w14:textId="77777777" w:rsidTr="00D015F0">
        <w:trPr>
          <w:trHeight w:val="201"/>
          <w:jc w:val="center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9C2"/>
            <w:vAlign w:val="center"/>
            <w:hideMark/>
          </w:tcPr>
          <w:p w14:paraId="21D5C5DB" w14:textId="5AB00AF0" w:rsidR="00DE22B9" w:rsidRPr="00DE22B9" w:rsidRDefault="00DE22B9" w:rsidP="00D015F0">
            <w:pPr>
              <w:jc w:val="center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Coahuila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16F0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Hospital Infantil Universitario</w:t>
            </w:r>
          </w:p>
        </w:tc>
      </w:tr>
      <w:tr w:rsidR="00DE22B9" w:rsidRPr="00DE22B9" w14:paraId="23C2037A" w14:textId="77777777" w:rsidTr="00D015F0">
        <w:trPr>
          <w:trHeight w:val="201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275A0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7435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Hospital Universitario De Saltillo</w:t>
            </w:r>
          </w:p>
        </w:tc>
      </w:tr>
      <w:tr w:rsidR="00DE22B9" w:rsidRPr="00DE22B9" w14:paraId="3D9EDE39" w14:textId="77777777" w:rsidTr="00D015F0">
        <w:trPr>
          <w:trHeight w:val="201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1A36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80FB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Hospital Universitario De Torreón</w:t>
            </w:r>
          </w:p>
        </w:tc>
      </w:tr>
      <w:tr w:rsidR="00DE22B9" w:rsidRPr="00DE22B9" w14:paraId="598B0B9A" w14:textId="77777777" w:rsidTr="00D015F0">
        <w:trPr>
          <w:trHeight w:val="201"/>
          <w:jc w:val="center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9C2"/>
            <w:noWrap/>
            <w:vAlign w:val="center"/>
            <w:hideMark/>
          </w:tcPr>
          <w:p w14:paraId="12BFFDA9" w14:textId="77777777" w:rsidR="00DE22B9" w:rsidRPr="00DE22B9" w:rsidRDefault="00DE22B9">
            <w:pPr>
              <w:jc w:val="center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Nuevo León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04C6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C.S.U. Vicente Guerrero UANL</w:t>
            </w:r>
          </w:p>
        </w:tc>
      </w:tr>
      <w:tr w:rsidR="00DE22B9" w:rsidRPr="00DE22B9" w14:paraId="535794B5" w14:textId="77777777" w:rsidTr="00D015F0">
        <w:trPr>
          <w:trHeight w:val="201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ED75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8B86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Clínica De Atención Integral De Adolescentes y Jóvenes</w:t>
            </w:r>
          </w:p>
        </w:tc>
      </w:tr>
      <w:tr w:rsidR="00DE22B9" w:rsidRPr="00DE22B9" w14:paraId="5E85F506" w14:textId="77777777" w:rsidTr="00D015F0">
        <w:trPr>
          <w:trHeight w:val="201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B580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CFDB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Clínica Universitaria Ciénega De Flores</w:t>
            </w:r>
          </w:p>
        </w:tc>
      </w:tr>
      <w:tr w:rsidR="00DE22B9" w:rsidRPr="00DE22B9" w14:paraId="3EA2E0D4" w14:textId="77777777" w:rsidTr="00D015F0">
        <w:trPr>
          <w:trHeight w:val="201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D9AB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63F0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 xml:space="preserve">Clínica Universitaria 21 de enero </w:t>
            </w:r>
          </w:p>
        </w:tc>
      </w:tr>
      <w:tr w:rsidR="00DE22B9" w:rsidRPr="00DE22B9" w14:paraId="31114EDB" w14:textId="77777777" w:rsidTr="00D015F0">
        <w:trPr>
          <w:trHeight w:val="201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FB69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AF2E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Clínica Universitaria Pueblo Nuevo</w:t>
            </w:r>
          </w:p>
        </w:tc>
      </w:tr>
      <w:tr w:rsidR="00DE22B9" w:rsidRPr="00DE22B9" w14:paraId="2FB5B40F" w14:textId="77777777" w:rsidTr="00D015F0">
        <w:trPr>
          <w:trHeight w:val="201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E48E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C984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 xml:space="preserve">Clínica Universitaria San Rafael </w:t>
            </w:r>
          </w:p>
        </w:tc>
      </w:tr>
      <w:tr w:rsidR="00DE22B9" w:rsidRPr="00DE22B9" w14:paraId="5A2BD18E" w14:textId="77777777" w:rsidTr="00D015F0">
        <w:trPr>
          <w:trHeight w:val="201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6229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C060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Clínica Universitaria Unidad Habitacional Independencia</w:t>
            </w:r>
          </w:p>
        </w:tc>
      </w:tr>
      <w:tr w:rsidR="00DE22B9" w:rsidRPr="00DE22B9" w14:paraId="6998AE61" w14:textId="77777777" w:rsidTr="00D015F0">
        <w:trPr>
          <w:trHeight w:val="201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14A4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D28A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Hospital Universitario Dr. José Eleuterio González</w:t>
            </w:r>
          </w:p>
        </w:tc>
      </w:tr>
      <w:tr w:rsidR="00DE22B9" w:rsidRPr="00DE22B9" w14:paraId="67D60D26" w14:textId="77777777" w:rsidTr="00D015F0">
        <w:trPr>
          <w:trHeight w:val="201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AC90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C44F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Modulo Dental Apodaca</w:t>
            </w:r>
          </w:p>
        </w:tc>
      </w:tr>
      <w:tr w:rsidR="00DE22B9" w:rsidRPr="00DE22B9" w14:paraId="377CBA16" w14:textId="77777777" w:rsidTr="00D015F0">
        <w:trPr>
          <w:trHeight w:val="201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4DCA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EFD5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Modulo Dental Guadalupe</w:t>
            </w:r>
          </w:p>
        </w:tc>
      </w:tr>
      <w:tr w:rsidR="00DE22B9" w:rsidRPr="00DE22B9" w14:paraId="19B3FA3D" w14:textId="77777777" w:rsidTr="00D015F0">
        <w:trPr>
          <w:trHeight w:val="201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9C2"/>
            <w:noWrap/>
            <w:vAlign w:val="center"/>
            <w:hideMark/>
          </w:tcPr>
          <w:p w14:paraId="46FBB3A3" w14:textId="77777777" w:rsidR="00DE22B9" w:rsidRPr="00DE22B9" w:rsidRDefault="00DE22B9">
            <w:pPr>
              <w:jc w:val="center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San Luis Potosí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3F4B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Unidad De Cuidados Integrales e Investigación en Salud</w:t>
            </w:r>
          </w:p>
        </w:tc>
      </w:tr>
      <w:tr w:rsidR="00DE22B9" w:rsidRPr="00DE22B9" w14:paraId="20CCEE70" w14:textId="77777777" w:rsidTr="00D015F0">
        <w:trPr>
          <w:trHeight w:val="201"/>
          <w:jc w:val="center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9C2"/>
            <w:vAlign w:val="center"/>
            <w:hideMark/>
          </w:tcPr>
          <w:p w14:paraId="2893AF68" w14:textId="60B693AE" w:rsidR="00DE22B9" w:rsidRPr="00DE22B9" w:rsidRDefault="00DE22B9" w:rsidP="00D015F0">
            <w:pPr>
              <w:jc w:val="center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Veracruz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F9EE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 w:rsidRPr="00DE22B9">
              <w:rPr>
                <w:rFonts w:ascii="Montserrat" w:hAnsi="Montserrat" w:cs="Calibri"/>
                <w:color w:val="000000"/>
                <w:sz w:val="16"/>
                <w:szCs w:val="16"/>
              </w:rPr>
              <w:t>Clínica Universitaria De Salud Reproductiva Y Sexual</w:t>
            </w:r>
          </w:p>
        </w:tc>
      </w:tr>
      <w:tr w:rsidR="00DE22B9" w:rsidRPr="00DE22B9" w14:paraId="552FD4B4" w14:textId="77777777" w:rsidTr="00D015F0">
        <w:trPr>
          <w:trHeight w:val="267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40365" w14:textId="77777777" w:rsidR="00DE22B9" w:rsidRPr="00DE22B9" w:rsidRDefault="00DE22B9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292F" w14:textId="40E3618D" w:rsidR="00DE22B9" w:rsidRPr="00D015F0" w:rsidRDefault="00DE22B9" w:rsidP="00D015F0">
            <w:pPr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D015F0">
              <w:rPr>
                <w:rFonts w:ascii="Montserrat" w:hAnsi="Montserrat" w:cs="Calibri"/>
                <w:color w:val="000000"/>
                <w:sz w:val="15"/>
                <w:szCs w:val="15"/>
              </w:rPr>
              <w:t xml:space="preserve">Unidad </w:t>
            </w:r>
            <w:r w:rsidR="00D015F0" w:rsidRPr="00D015F0">
              <w:rPr>
                <w:rFonts w:ascii="Montserrat" w:hAnsi="Montserrat" w:cs="Calibri"/>
                <w:color w:val="000000"/>
                <w:sz w:val="15"/>
                <w:szCs w:val="15"/>
              </w:rPr>
              <w:t>d</w:t>
            </w:r>
            <w:r w:rsidRPr="00D015F0">
              <w:rPr>
                <w:rFonts w:ascii="Montserrat" w:hAnsi="Montserrat" w:cs="Calibri"/>
                <w:color w:val="000000"/>
                <w:sz w:val="15"/>
                <w:szCs w:val="15"/>
              </w:rPr>
              <w:t xml:space="preserve">e Atención Medica Xalapa, Sistema </w:t>
            </w:r>
            <w:r w:rsidR="00D015F0" w:rsidRPr="00D015F0">
              <w:rPr>
                <w:rFonts w:ascii="Montserrat" w:hAnsi="Montserrat" w:cs="Calibri"/>
                <w:color w:val="000000"/>
                <w:sz w:val="15"/>
                <w:szCs w:val="15"/>
              </w:rPr>
              <w:t>d</w:t>
            </w:r>
            <w:r w:rsidRPr="00D015F0">
              <w:rPr>
                <w:rFonts w:ascii="Montserrat" w:hAnsi="Montserrat" w:cs="Calibri"/>
                <w:color w:val="000000"/>
                <w:sz w:val="15"/>
                <w:szCs w:val="15"/>
              </w:rPr>
              <w:t xml:space="preserve">e Atención Integral </w:t>
            </w:r>
            <w:r w:rsidR="00D015F0" w:rsidRPr="00D015F0">
              <w:rPr>
                <w:rFonts w:ascii="Montserrat" w:hAnsi="Montserrat" w:cs="Calibri"/>
                <w:color w:val="000000"/>
                <w:sz w:val="15"/>
                <w:szCs w:val="15"/>
              </w:rPr>
              <w:t>a</w:t>
            </w:r>
            <w:r w:rsidRPr="00D015F0">
              <w:rPr>
                <w:rFonts w:ascii="Montserrat" w:hAnsi="Montserrat" w:cs="Calibri"/>
                <w:color w:val="000000"/>
                <w:sz w:val="15"/>
                <w:szCs w:val="15"/>
              </w:rPr>
              <w:t xml:space="preserve"> </w:t>
            </w:r>
            <w:r w:rsidR="00D015F0" w:rsidRPr="00D015F0">
              <w:rPr>
                <w:rFonts w:ascii="Montserrat" w:hAnsi="Montserrat" w:cs="Calibri"/>
                <w:color w:val="000000"/>
                <w:sz w:val="15"/>
                <w:szCs w:val="15"/>
              </w:rPr>
              <w:t>l</w:t>
            </w:r>
            <w:r w:rsidRPr="00D015F0">
              <w:rPr>
                <w:rFonts w:ascii="Montserrat" w:hAnsi="Montserrat" w:cs="Calibri"/>
                <w:color w:val="000000"/>
                <w:sz w:val="15"/>
                <w:szCs w:val="15"/>
              </w:rPr>
              <w:t xml:space="preserve">a Salud </w:t>
            </w:r>
            <w:r w:rsidR="00D015F0" w:rsidRPr="00D015F0">
              <w:rPr>
                <w:rFonts w:ascii="Montserrat" w:hAnsi="Montserrat" w:cs="Calibri"/>
                <w:color w:val="000000"/>
                <w:sz w:val="15"/>
                <w:szCs w:val="15"/>
              </w:rPr>
              <w:t>d</w:t>
            </w:r>
            <w:r w:rsidR="00D015F0">
              <w:rPr>
                <w:rFonts w:ascii="Montserrat" w:hAnsi="Montserrat" w:cs="Calibri"/>
                <w:color w:val="000000"/>
                <w:sz w:val="15"/>
                <w:szCs w:val="15"/>
              </w:rPr>
              <w:t>e l</w:t>
            </w:r>
            <w:r w:rsidRPr="00D015F0">
              <w:rPr>
                <w:rFonts w:ascii="Montserrat" w:hAnsi="Montserrat" w:cs="Calibri"/>
                <w:color w:val="000000"/>
                <w:sz w:val="15"/>
                <w:szCs w:val="15"/>
              </w:rPr>
              <w:t>a Universidad Veracruzana</w:t>
            </w:r>
          </w:p>
        </w:tc>
      </w:tr>
    </w:tbl>
    <w:p w14:paraId="1B3A9727" w14:textId="77777777" w:rsidR="00C96C4D" w:rsidRPr="001B610A" w:rsidRDefault="00C96C4D" w:rsidP="00345617">
      <w:pPr>
        <w:spacing w:line="360" w:lineRule="auto"/>
        <w:ind w:right="6"/>
        <w:jc w:val="both"/>
        <w:rPr>
          <w:rFonts w:ascii="Montserrat" w:hAnsi="Montserrat" w:cs="Arial"/>
          <w:bCs/>
          <w:sz w:val="16"/>
          <w:szCs w:val="16"/>
          <w:lang w:val="es-MX"/>
        </w:rPr>
      </w:pPr>
    </w:p>
    <w:p w14:paraId="7CF9D9DE" w14:textId="5052EC85" w:rsidR="00DB0B1C" w:rsidRPr="00AE5531" w:rsidRDefault="00F868D6" w:rsidP="00A8537B">
      <w:pPr>
        <w:spacing w:line="276" w:lineRule="auto"/>
        <w:ind w:right="6"/>
        <w:jc w:val="both"/>
        <w:rPr>
          <w:rFonts w:ascii="Montserrat" w:hAnsi="Montserrat" w:cs="Arial"/>
          <w:bCs/>
          <w:sz w:val="20"/>
          <w:szCs w:val="20"/>
          <w:lang w:val="es-MX"/>
        </w:rPr>
      </w:pPr>
      <w:r w:rsidRPr="00AE5531">
        <w:rPr>
          <w:rFonts w:ascii="Montserrat" w:hAnsi="Montserrat" w:cs="Arial"/>
          <w:bCs/>
          <w:sz w:val="20"/>
          <w:szCs w:val="20"/>
          <w:lang w:val="es-MX"/>
        </w:rPr>
        <w:t xml:space="preserve">Finalmente, </w:t>
      </w:r>
      <w:r w:rsidR="009E09FE" w:rsidRPr="00AE5531">
        <w:rPr>
          <w:rFonts w:ascii="Montserrat" w:hAnsi="Montserrat" w:cs="Arial"/>
          <w:bCs/>
          <w:sz w:val="20"/>
          <w:szCs w:val="20"/>
          <w:lang w:val="es-MX"/>
        </w:rPr>
        <w:t xml:space="preserve">es importante mencionar que el universo de unidades que integran los cuadros estadísticos de este Boletín </w:t>
      </w:r>
      <w:r w:rsidR="00BD65A3" w:rsidRPr="00AE5531">
        <w:rPr>
          <w:rFonts w:ascii="Montserrat" w:hAnsi="Montserrat" w:cs="Arial"/>
          <w:bCs/>
          <w:sz w:val="20"/>
          <w:szCs w:val="20"/>
          <w:lang w:val="es-MX"/>
        </w:rPr>
        <w:t xml:space="preserve">son los proporcionados por las instituciones </w:t>
      </w:r>
      <w:r w:rsidR="00D015F0">
        <w:rPr>
          <w:rFonts w:ascii="Montserrat" w:hAnsi="Montserrat" w:cs="Arial"/>
          <w:bCs/>
          <w:sz w:val="20"/>
          <w:szCs w:val="20"/>
          <w:lang w:val="es-MX"/>
        </w:rPr>
        <w:t>públicas (ver cuadro 5)</w:t>
      </w:r>
      <w:r w:rsidR="009E09FE" w:rsidRPr="00AE5531">
        <w:rPr>
          <w:rFonts w:ascii="Montserrat" w:hAnsi="Montserrat" w:cs="Arial"/>
          <w:bCs/>
          <w:sz w:val="20"/>
          <w:szCs w:val="20"/>
          <w:lang w:val="es-MX"/>
        </w:rPr>
        <w:t>.</w:t>
      </w:r>
      <w:r w:rsidR="00166121" w:rsidRPr="00AE5531">
        <w:rPr>
          <w:rFonts w:ascii="Montserrat" w:hAnsi="Montserrat" w:cs="Arial"/>
          <w:bCs/>
          <w:sz w:val="20"/>
          <w:szCs w:val="20"/>
          <w:lang w:val="es-MX"/>
        </w:rPr>
        <w:t xml:space="preserve"> </w:t>
      </w:r>
      <w:r w:rsidR="00DC69E5" w:rsidRPr="00AE5531">
        <w:rPr>
          <w:rFonts w:ascii="Montserrat" w:hAnsi="Montserrat" w:cs="Arial"/>
          <w:bCs/>
          <w:sz w:val="20"/>
          <w:szCs w:val="20"/>
          <w:lang w:val="es-MX"/>
        </w:rPr>
        <w:t xml:space="preserve">Asimismo, resulta importante señalar que </w:t>
      </w:r>
      <w:r w:rsidR="00166121" w:rsidRPr="00AE5531">
        <w:rPr>
          <w:rFonts w:ascii="Montserrat" w:hAnsi="Montserrat" w:cs="Arial"/>
          <w:bCs/>
          <w:sz w:val="20"/>
          <w:szCs w:val="20"/>
          <w:lang w:val="es-MX"/>
        </w:rPr>
        <w:t xml:space="preserve">la información </w:t>
      </w:r>
      <w:r w:rsidR="00F95FCC" w:rsidRPr="00AE5531">
        <w:rPr>
          <w:rFonts w:ascii="Montserrat" w:hAnsi="Montserrat" w:cs="Arial"/>
          <w:bCs/>
          <w:sz w:val="20"/>
          <w:szCs w:val="20"/>
          <w:lang w:val="es-MX"/>
        </w:rPr>
        <w:t>contenida en esta publicación</w:t>
      </w:r>
      <w:r w:rsidR="00166121" w:rsidRPr="00AE5531">
        <w:rPr>
          <w:rFonts w:ascii="Montserrat" w:hAnsi="Montserrat" w:cs="Arial"/>
          <w:bCs/>
          <w:sz w:val="20"/>
          <w:szCs w:val="20"/>
          <w:lang w:val="es-MX"/>
        </w:rPr>
        <w:t xml:space="preserve"> </w:t>
      </w:r>
      <w:r w:rsidR="00F95FCC" w:rsidRPr="00AE5531">
        <w:rPr>
          <w:rFonts w:ascii="Montserrat" w:hAnsi="Montserrat" w:cs="Arial"/>
          <w:bCs/>
          <w:sz w:val="20"/>
          <w:szCs w:val="20"/>
          <w:lang w:val="es-MX"/>
        </w:rPr>
        <w:t>representa los datos oficiales correspondientes a 201</w:t>
      </w:r>
      <w:r w:rsidR="00651C60">
        <w:rPr>
          <w:rFonts w:ascii="Montserrat" w:hAnsi="Montserrat" w:cs="Arial"/>
          <w:bCs/>
          <w:sz w:val="20"/>
          <w:szCs w:val="20"/>
          <w:lang w:val="es-MX"/>
        </w:rPr>
        <w:t>8</w:t>
      </w:r>
      <w:r w:rsidR="00F95FCC" w:rsidRPr="00AE5531">
        <w:rPr>
          <w:rFonts w:ascii="Montserrat" w:hAnsi="Montserrat" w:cs="Arial"/>
          <w:bCs/>
          <w:sz w:val="20"/>
          <w:szCs w:val="20"/>
          <w:lang w:val="es-MX"/>
        </w:rPr>
        <w:t>, para cada una de las instituciones consideradas.</w:t>
      </w:r>
    </w:p>
    <w:p w14:paraId="569F847E" w14:textId="77777777" w:rsidR="002E4BD7" w:rsidRPr="001B610A" w:rsidRDefault="002E4BD7" w:rsidP="00F95FCC">
      <w:pPr>
        <w:spacing w:line="360" w:lineRule="auto"/>
        <w:ind w:right="6"/>
        <w:jc w:val="both"/>
        <w:rPr>
          <w:rFonts w:ascii="Montserrat" w:hAnsi="Montserrat" w:cs="Arial"/>
          <w:bCs/>
          <w:sz w:val="16"/>
          <w:szCs w:val="16"/>
          <w:lang w:val="es-MX"/>
        </w:rPr>
      </w:pPr>
    </w:p>
    <w:p w14:paraId="40AAAF8A" w14:textId="77777777" w:rsidR="0064217D" w:rsidRPr="00AE5531" w:rsidRDefault="00DB0B1C" w:rsidP="00651C60">
      <w:pPr>
        <w:ind w:right="6"/>
        <w:jc w:val="center"/>
        <w:outlineLvl w:val="0"/>
        <w:rPr>
          <w:rFonts w:ascii="Montserrat" w:hAnsi="Montserrat" w:cs="Arial"/>
          <w:b/>
          <w:color w:val="000000"/>
          <w:sz w:val="20"/>
          <w:szCs w:val="20"/>
          <w:lang w:val="es-MX"/>
        </w:rPr>
      </w:pPr>
      <w:r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>Cuadro</w:t>
      </w:r>
      <w:r w:rsidR="0064217D"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 xml:space="preserve"> </w:t>
      </w:r>
      <w:r w:rsidR="00747F10"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>5</w:t>
      </w:r>
      <w:r w:rsidR="002B3337"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 xml:space="preserve">. Número de </w:t>
      </w:r>
      <w:r w:rsidR="0005357A"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>unidades médicas</w:t>
      </w:r>
      <w:r w:rsidR="002B3337"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 xml:space="preserve"> por institución</w:t>
      </w:r>
    </w:p>
    <w:p w14:paraId="6F1D0BD5" w14:textId="1E0CEB36" w:rsidR="00DB0B1C" w:rsidRDefault="002B3337" w:rsidP="00805D28">
      <w:pPr>
        <w:ind w:right="6"/>
        <w:jc w:val="center"/>
        <w:rPr>
          <w:rFonts w:ascii="Montserrat" w:hAnsi="Montserrat" w:cs="Arial"/>
          <w:b/>
          <w:color w:val="000000"/>
          <w:sz w:val="20"/>
          <w:szCs w:val="20"/>
          <w:lang w:val="es-MX"/>
        </w:rPr>
      </w:pPr>
      <w:r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>(</w:t>
      </w:r>
      <w:r w:rsidR="001B610A"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>diciembre</w:t>
      </w:r>
      <w:r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 xml:space="preserve"> 20</w:t>
      </w:r>
      <w:r w:rsidR="008425B8"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>1</w:t>
      </w:r>
      <w:r w:rsidR="001B610A"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>8</w:t>
      </w:r>
      <w:r w:rsidRPr="00AE5531">
        <w:rPr>
          <w:rFonts w:ascii="Montserrat" w:hAnsi="Montserrat" w:cs="Arial"/>
          <w:b/>
          <w:color w:val="000000"/>
          <w:sz w:val="20"/>
          <w:szCs w:val="20"/>
          <w:lang w:val="es-MX"/>
        </w:rPr>
        <w:t>)</w:t>
      </w:r>
    </w:p>
    <w:tbl>
      <w:tblPr>
        <w:tblW w:w="92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5018"/>
        <w:gridCol w:w="1030"/>
        <w:gridCol w:w="1157"/>
        <w:gridCol w:w="1507"/>
      </w:tblGrid>
      <w:tr w:rsidR="006D0F5D" w14:paraId="6D2A8C20" w14:textId="77777777" w:rsidTr="006D0F5D">
        <w:trPr>
          <w:trHeight w:val="453"/>
          <w:jc w:val="center"/>
        </w:trPr>
        <w:tc>
          <w:tcPr>
            <w:tcW w:w="5520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285C4D"/>
            <w:noWrap/>
            <w:vAlign w:val="center"/>
            <w:hideMark/>
          </w:tcPr>
          <w:p w14:paraId="371ED523" w14:textId="77777777" w:rsidR="006D0F5D" w:rsidRDefault="006D0F5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Institución</w:t>
            </w:r>
          </w:p>
        </w:tc>
        <w:tc>
          <w:tcPr>
            <w:tcW w:w="103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285C4D"/>
            <w:vAlign w:val="center"/>
            <w:hideMark/>
          </w:tcPr>
          <w:p w14:paraId="34E36819" w14:textId="77777777" w:rsidR="006D0F5D" w:rsidRDefault="006D0F5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Unidades CLUES</w:t>
            </w:r>
          </w:p>
        </w:tc>
        <w:tc>
          <w:tcPr>
            <w:tcW w:w="115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285C4D"/>
            <w:vAlign w:val="center"/>
            <w:hideMark/>
          </w:tcPr>
          <w:p w14:paraId="131D4C65" w14:textId="77777777" w:rsidR="006D0F5D" w:rsidRDefault="006D0F5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Unidades integradas</w:t>
            </w:r>
          </w:p>
        </w:tc>
        <w:tc>
          <w:tcPr>
            <w:tcW w:w="1507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285C4D"/>
            <w:vAlign w:val="center"/>
            <w:hideMark/>
          </w:tcPr>
          <w:p w14:paraId="660872D7" w14:textId="77777777" w:rsidR="006D0F5D" w:rsidRDefault="006D0F5D">
            <w:pPr>
              <w:jc w:val="center"/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Montserrat" w:hAnsi="Montserrat" w:cs="Calibri"/>
                <w:b/>
                <w:bCs/>
                <w:color w:val="FFFFFF"/>
                <w:sz w:val="18"/>
                <w:szCs w:val="18"/>
              </w:rPr>
              <w:t>Porcentaje de Cobertura</w:t>
            </w:r>
          </w:p>
        </w:tc>
      </w:tr>
      <w:tr w:rsidR="006D0F5D" w14:paraId="7D2E72EC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44EA8A8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8A8E06B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Secretearía de Salud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71B622DD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18,843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736468C0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15,085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E138050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80%</w:t>
            </w:r>
          </w:p>
        </w:tc>
      </w:tr>
      <w:tr w:rsidR="006D0F5D" w14:paraId="689C590C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BD4B" w14:textId="77777777" w:rsidR="006D0F5D" w:rsidRDefault="006D0F5D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E64C" w14:textId="77777777" w:rsidR="006D0F5D" w:rsidRDefault="006D0F5D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Servicios Estatales de Salud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DBC9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18,815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7042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15,058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5D55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80%</w:t>
            </w:r>
          </w:p>
        </w:tc>
      </w:tr>
      <w:tr w:rsidR="006D0F5D" w14:paraId="0144D337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1306" w14:textId="77777777" w:rsidR="006D0F5D" w:rsidRDefault="006D0F5D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BC14" w14:textId="77777777" w:rsidR="006D0F5D" w:rsidRDefault="006D0F5D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Institutos Nacionales de Salud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F825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9C14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6FD4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100%</w:t>
            </w:r>
          </w:p>
        </w:tc>
      </w:tr>
      <w:tr w:rsidR="006D0F5D" w14:paraId="4F4C867C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8520" w14:textId="77777777" w:rsidR="006D0F5D" w:rsidRDefault="006D0F5D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F38B" w14:textId="77777777" w:rsidR="006D0F5D" w:rsidRDefault="006D0F5D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Hospitales Federales de Referencia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F56A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95CA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1549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83%</w:t>
            </w:r>
          </w:p>
        </w:tc>
      </w:tr>
      <w:tr w:rsidR="006D0F5D" w14:paraId="764A386B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2248" w14:textId="77777777" w:rsidR="006D0F5D" w:rsidRDefault="006D0F5D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F8D3" w14:textId="77777777" w:rsidR="006D0F5D" w:rsidRDefault="006D0F5D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Servicios de Atención Psiquiátrica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9A3B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B2A2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CB98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100%</w:t>
            </w:r>
          </w:p>
        </w:tc>
      </w:tr>
      <w:tr w:rsidR="006D0F5D" w14:paraId="33AD5F5F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558A" w14:textId="77777777" w:rsidR="006D0F5D" w:rsidRDefault="006D0F5D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3B91" w14:textId="77777777" w:rsidR="006D0F5D" w:rsidRDefault="006D0F5D">
            <w:pPr>
              <w:ind w:firstLineChars="200" w:firstLine="320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Hospitales Regionales de Alta Especialidad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F880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23A3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F595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100%</w:t>
            </w:r>
          </w:p>
        </w:tc>
      </w:tr>
      <w:tr w:rsidR="006D0F5D" w14:paraId="41C7AF0A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D309E4C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D359AD4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IMSS-PROSPERA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3C81B352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4,490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56C937D0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4,355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06F1D67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97%</w:t>
            </w:r>
          </w:p>
        </w:tc>
      </w:tr>
      <w:tr w:rsidR="006D0F5D" w14:paraId="457E1F8D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492FC6F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35EAFF8C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 xml:space="preserve">Hospitales Universitarios </w:t>
            </w:r>
            <w:r>
              <w:rPr>
                <w:rFonts w:ascii="Montserrat" w:hAnsi="Montserrat" w:cs="Calibri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35A73CE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019666D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397B2D1A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44%</w:t>
            </w:r>
          </w:p>
        </w:tc>
      </w:tr>
      <w:tr w:rsidR="006D0F5D" w14:paraId="55A8865B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28D4DA6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51E8A295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Instituto Mexicano del Seguro Social (IMSS)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4B220B1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1,651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09D1C17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1,426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464B6683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86%</w:t>
            </w:r>
          </w:p>
        </w:tc>
      </w:tr>
      <w:tr w:rsidR="006D0F5D" w14:paraId="50C50DA8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3D3737F0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A69B4BA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Instituto de Seguridad y Servicios Sociales de los Trabajadores del Estado (ISSSTE)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4470270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1,220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3354561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1,163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DB340AE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95%</w:t>
            </w:r>
          </w:p>
        </w:tc>
      </w:tr>
      <w:tr w:rsidR="006D0F5D" w14:paraId="671BBA13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32A9CA96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36CDAD31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Petróleos Mexicanos (PEMEX)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B79FC55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1D1FFF3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5054FA86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100%</w:t>
            </w:r>
          </w:p>
        </w:tc>
      </w:tr>
      <w:tr w:rsidR="006D0F5D" w14:paraId="4EA22BBB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DBE4B1D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785453B3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Secretaría de la Defensa Nacional (SEDENA)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561BF4C2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989A4B3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08021ED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19%</w:t>
            </w:r>
          </w:p>
        </w:tc>
      </w:tr>
      <w:tr w:rsidR="006D0F5D" w14:paraId="5350BFD5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3E748C56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83897A9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Secretaría de Marina (SEMAR)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4E1EEEC2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3BA6371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7085AD28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95%</w:t>
            </w:r>
          </w:p>
        </w:tc>
      </w:tr>
      <w:tr w:rsidR="006D0F5D" w14:paraId="03D16856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5BDC2239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719C85D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Sistema de Transporte Colectivo Metro (STC Metro)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3286197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n.d</w:t>
            </w:r>
            <w:proofErr w:type="spellEnd"/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5F34B479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n.d</w:t>
            </w:r>
            <w:proofErr w:type="spellEnd"/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3FC5EE7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 </w:t>
            </w:r>
          </w:p>
        </w:tc>
      </w:tr>
      <w:tr w:rsidR="006D0F5D" w14:paraId="0ABE4BF5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39C695C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7282B826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 xml:space="preserve">Servicios Médicos Estatales </w:t>
            </w:r>
            <w:r>
              <w:rPr>
                <w:rFonts w:ascii="Montserrat" w:hAnsi="Montserrat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BDF7FD2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837520F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D540130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58%</w:t>
            </w:r>
          </w:p>
        </w:tc>
      </w:tr>
      <w:tr w:rsidR="006D0F5D" w14:paraId="71642CCB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4174AE5A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34517CF3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Sistema Nacional para el Desarrollo Integral de la Familia (DIF)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35335058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C9E0030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479D81A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3%</w:t>
            </w:r>
          </w:p>
        </w:tc>
      </w:tr>
      <w:tr w:rsidR="006D0F5D" w14:paraId="4E5D577D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B174F4C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3849F1A6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Secretaría de Comunicaciones y Transportes (SCT)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7C83B62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279ADC6B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n.d</w:t>
            </w:r>
            <w:proofErr w:type="spellEnd"/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7B06C916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 </w:t>
            </w:r>
          </w:p>
        </w:tc>
      </w:tr>
      <w:tr w:rsidR="006D0F5D" w14:paraId="4BF6F04E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DF2320C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7F76D5D1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Cruz Roja Mexicana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0CF59CA7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45877188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n.d</w:t>
            </w:r>
            <w:proofErr w:type="spellEnd"/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781B5774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 </w:t>
            </w:r>
          </w:p>
        </w:tc>
      </w:tr>
      <w:tr w:rsidR="006D0F5D" w14:paraId="23CCEDDF" w14:textId="77777777" w:rsidTr="006D0F5D">
        <w:trPr>
          <w:trHeight w:val="251"/>
          <w:jc w:val="center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5B6DC138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C9A55DE" w14:textId="77777777" w:rsidR="006D0F5D" w:rsidRDefault="006D0F5D">
            <w:pPr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Servicios Médicos Privados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7DCD4ED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10,934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1DE1798B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n.d</w:t>
            </w:r>
            <w:proofErr w:type="spellEnd"/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6D7"/>
            <w:noWrap/>
            <w:vAlign w:val="center"/>
            <w:hideMark/>
          </w:tcPr>
          <w:p w14:paraId="6E007D1F" w14:textId="77777777" w:rsidR="006D0F5D" w:rsidRDefault="006D0F5D">
            <w:pPr>
              <w:jc w:val="right"/>
              <w:rPr>
                <w:rFonts w:ascii="Montserrat" w:hAnsi="Montserrat" w:cs="Calibri"/>
                <w:color w:val="000000"/>
                <w:sz w:val="16"/>
                <w:szCs w:val="16"/>
              </w:rPr>
            </w:pPr>
            <w:r>
              <w:rPr>
                <w:rFonts w:ascii="Montserrat" w:hAnsi="Montserrat" w:cs="Calibri"/>
                <w:color w:val="000000"/>
                <w:sz w:val="16"/>
                <w:szCs w:val="16"/>
              </w:rPr>
              <w:t> </w:t>
            </w:r>
          </w:p>
        </w:tc>
      </w:tr>
      <w:tr w:rsidR="006D0F5D" w:rsidRPr="00D015F0" w14:paraId="1EF00CE0" w14:textId="77777777" w:rsidTr="006D0F5D">
        <w:trPr>
          <w:trHeight w:val="251"/>
          <w:jc w:val="center"/>
        </w:trPr>
        <w:tc>
          <w:tcPr>
            <w:tcW w:w="5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07CE552A" w14:textId="77777777" w:rsidR="006D0F5D" w:rsidRPr="00D015F0" w:rsidRDefault="006D0F5D">
            <w:pPr>
              <w:ind w:firstLineChars="300" w:firstLine="482"/>
              <w:rPr>
                <w:rFonts w:ascii="Montserrat" w:hAnsi="Montserrat" w:cs="Calibri"/>
                <w:b/>
                <w:sz w:val="16"/>
                <w:szCs w:val="16"/>
              </w:rPr>
            </w:pPr>
            <w:bookmarkStart w:id="0" w:name="_GoBack"/>
            <w:r w:rsidRPr="00D015F0">
              <w:rPr>
                <w:rFonts w:ascii="Montserrat" w:hAnsi="Montserrat" w:cs="Calibri"/>
                <w:b/>
                <w:sz w:val="16"/>
                <w:szCs w:val="16"/>
              </w:rPr>
              <w:t>Total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11A5D4DF" w14:textId="77777777" w:rsidR="006D0F5D" w:rsidRPr="00D015F0" w:rsidRDefault="006D0F5D">
            <w:pPr>
              <w:jc w:val="right"/>
              <w:rPr>
                <w:rFonts w:ascii="Montserrat" w:hAnsi="Montserrat" w:cs="Calibri"/>
                <w:b/>
                <w:sz w:val="16"/>
                <w:szCs w:val="16"/>
              </w:rPr>
            </w:pPr>
            <w:r w:rsidRPr="00D015F0">
              <w:rPr>
                <w:rFonts w:ascii="Montserrat" w:hAnsi="Montserrat" w:cs="Calibri"/>
                <w:b/>
                <w:sz w:val="16"/>
                <w:szCs w:val="16"/>
              </w:rPr>
              <w:t>38,945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21E433B9" w14:textId="77777777" w:rsidR="006D0F5D" w:rsidRPr="00D015F0" w:rsidRDefault="006D0F5D">
            <w:pPr>
              <w:jc w:val="right"/>
              <w:rPr>
                <w:rFonts w:ascii="Montserrat" w:hAnsi="Montserrat" w:cs="Calibri"/>
                <w:b/>
                <w:sz w:val="16"/>
                <w:szCs w:val="16"/>
              </w:rPr>
            </w:pPr>
            <w:r w:rsidRPr="00D015F0">
              <w:rPr>
                <w:rFonts w:ascii="Montserrat" w:hAnsi="Montserrat" w:cs="Calibri"/>
                <w:b/>
                <w:sz w:val="16"/>
                <w:szCs w:val="16"/>
              </w:rPr>
              <w:t>22,544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19C"/>
            <w:noWrap/>
            <w:vAlign w:val="center"/>
            <w:hideMark/>
          </w:tcPr>
          <w:p w14:paraId="4AA10956" w14:textId="77777777" w:rsidR="006D0F5D" w:rsidRPr="00D015F0" w:rsidRDefault="006D0F5D">
            <w:pPr>
              <w:jc w:val="right"/>
              <w:rPr>
                <w:rFonts w:ascii="Montserrat" w:hAnsi="Montserrat" w:cs="Calibri"/>
                <w:b/>
                <w:sz w:val="16"/>
                <w:szCs w:val="16"/>
              </w:rPr>
            </w:pPr>
            <w:r w:rsidRPr="00D015F0">
              <w:rPr>
                <w:rFonts w:ascii="Montserrat" w:hAnsi="Montserrat" w:cs="Calibri"/>
                <w:b/>
                <w:sz w:val="16"/>
                <w:szCs w:val="16"/>
              </w:rPr>
              <w:t>58%</w:t>
            </w:r>
          </w:p>
        </w:tc>
      </w:tr>
      <w:bookmarkEnd w:id="0"/>
    </w:tbl>
    <w:p w14:paraId="70A830AF" w14:textId="77777777" w:rsidR="006D0F5D" w:rsidRPr="00AE5531" w:rsidRDefault="006D0F5D" w:rsidP="00805D28">
      <w:pPr>
        <w:ind w:right="6"/>
        <w:jc w:val="center"/>
        <w:rPr>
          <w:rFonts w:ascii="Montserrat" w:hAnsi="Montserrat" w:cs="Arial"/>
          <w:b/>
          <w:color w:val="000000"/>
          <w:sz w:val="20"/>
          <w:szCs w:val="20"/>
          <w:lang w:val="es-MX"/>
        </w:rPr>
      </w:pPr>
    </w:p>
    <w:p w14:paraId="4756C288" w14:textId="77777777" w:rsidR="00DB0B1C" w:rsidRPr="00DE22B9" w:rsidRDefault="0007376A" w:rsidP="000164A3">
      <w:pPr>
        <w:ind w:left="284" w:right="424"/>
        <w:jc w:val="both"/>
        <w:rPr>
          <w:rFonts w:ascii="Montserrat" w:hAnsi="Montserrat" w:cs="Arial"/>
          <w:b/>
          <w:sz w:val="16"/>
          <w:szCs w:val="16"/>
          <w:lang w:val="es-MX"/>
        </w:rPr>
      </w:pPr>
      <w:r w:rsidRPr="00DE22B9">
        <w:rPr>
          <w:rFonts w:ascii="Montserrat" w:hAnsi="Montserrat" w:cs="Arial"/>
          <w:b/>
          <w:sz w:val="16"/>
          <w:szCs w:val="16"/>
          <w:lang w:val="es-MX"/>
        </w:rPr>
        <w:lastRenderedPageBreak/>
        <w:t>Notas:</w:t>
      </w:r>
    </w:p>
    <w:p w14:paraId="6671ACDA" w14:textId="77777777" w:rsidR="0095267D" w:rsidRPr="001B610A" w:rsidRDefault="008425B8" w:rsidP="000164A3">
      <w:pPr>
        <w:ind w:left="284" w:right="424"/>
        <w:jc w:val="both"/>
        <w:rPr>
          <w:rFonts w:ascii="Montserrat" w:hAnsi="Montserrat" w:cs="Arial"/>
          <w:bCs/>
          <w:sz w:val="16"/>
          <w:szCs w:val="16"/>
          <w:lang w:val="es-MX"/>
        </w:rPr>
      </w:pPr>
      <w:r w:rsidRPr="001B610A">
        <w:rPr>
          <w:rFonts w:ascii="Montserrat" w:hAnsi="Montserrat" w:cs="Arial"/>
          <w:bCs/>
          <w:sz w:val="16"/>
          <w:szCs w:val="16"/>
          <w:lang w:val="es-MX"/>
        </w:rPr>
        <w:t>2</w:t>
      </w:r>
      <w:r w:rsidR="0095267D" w:rsidRPr="001B610A">
        <w:rPr>
          <w:rFonts w:ascii="Montserrat" w:hAnsi="Montserrat" w:cs="Arial"/>
          <w:bCs/>
          <w:sz w:val="16"/>
          <w:szCs w:val="16"/>
          <w:lang w:val="es-MX"/>
        </w:rPr>
        <w:t xml:space="preserve">/ </w:t>
      </w:r>
      <w:r w:rsidR="0048290E" w:rsidRPr="001B610A">
        <w:rPr>
          <w:rFonts w:ascii="Montserrat" w:hAnsi="Montserrat" w:cs="Arial"/>
          <w:bCs/>
          <w:sz w:val="16"/>
          <w:szCs w:val="16"/>
          <w:lang w:val="es-MX"/>
        </w:rPr>
        <w:t>Incluye unidades médicas que están disponibles según Entidad Fe</w:t>
      </w:r>
      <w:r w:rsidR="00553998" w:rsidRPr="001B610A">
        <w:rPr>
          <w:rFonts w:ascii="Montserrat" w:hAnsi="Montserrat" w:cs="Arial"/>
          <w:bCs/>
          <w:sz w:val="16"/>
          <w:szCs w:val="16"/>
          <w:lang w:val="es-MX"/>
        </w:rPr>
        <w:t>derativa a la que pertenecen</w:t>
      </w:r>
      <w:r w:rsidR="0048290E" w:rsidRPr="001B610A">
        <w:rPr>
          <w:rFonts w:ascii="Montserrat" w:hAnsi="Montserrat" w:cs="Arial"/>
          <w:bCs/>
          <w:sz w:val="16"/>
          <w:szCs w:val="16"/>
          <w:lang w:val="es-MX"/>
        </w:rPr>
        <w:t>.</w:t>
      </w:r>
    </w:p>
    <w:p w14:paraId="3201120B" w14:textId="77777777" w:rsidR="000164A3" w:rsidRPr="001B610A" w:rsidRDefault="000164A3" w:rsidP="000164A3">
      <w:pPr>
        <w:ind w:left="284" w:right="424"/>
        <w:jc w:val="both"/>
        <w:rPr>
          <w:rFonts w:ascii="Montserrat" w:hAnsi="Montserrat" w:cs="Arial"/>
          <w:bCs/>
          <w:sz w:val="16"/>
          <w:szCs w:val="16"/>
          <w:lang w:val="es-MX"/>
        </w:rPr>
      </w:pPr>
      <w:r w:rsidRPr="001B610A">
        <w:rPr>
          <w:rFonts w:ascii="Montserrat" w:hAnsi="Montserrat" w:cs="Arial"/>
          <w:bCs/>
          <w:sz w:val="16"/>
          <w:szCs w:val="16"/>
          <w:lang w:val="es-MX"/>
        </w:rPr>
        <w:t>3/ Incluye Servicios Médicos Municipales.</w:t>
      </w:r>
    </w:p>
    <w:p w14:paraId="6E1E0A95" w14:textId="77777777" w:rsidR="00314D4A" w:rsidRPr="001B610A" w:rsidRDefault="00342F3F" w:rsidP="000164A3">
      <w:pPr>
        <w:ind w:left="284" w:right="424"/>
        <w:jc w:val="both"/>
        <w:rPr>
          <w:rFonts w:ascii="Montserrat" w:hAnsi="Montserrat" w:cs="Arial"/>
          <w:bCs/>
          <w:sz w:val="16"/>
          <w:szCs w:val="16"/>
          <w:lang w:val="es-MX"/>
        </w:rPr>
      </w:pPr>
      <w:proofErr w:type="spellStart"/>
      <w:r w:rsidRPr="001B610A">
        <w:rPr>
          <w:rFonts w:ascii="Montserrat" w:hAnsi="Montserrat" w:cs="Arial"/>
          <w:bCs/>
          <w:sz w:val="16"/>
          <w:szCs w:val="16"/>
          <w:lang w:val="es-MX"/>
        </w:rPr>
        <w:t>n.d</w:t>
      </w:r>
      <w:proofErr w:type="spellEnd"/>
      <w:r w:rsidRPr="001B610A">
        <w:rPr>
          <w:rFonts w:ascii="Montserrat" w:hAnsi="Montserrat" w:cs="Arial"/>
          <w:bCs/>
          <w:sz w:val="16"/>
          <w:szCs w:val="16"/>
          <w:lang w:val="es-MX"/>
        </w:rPr>
        <w:t>. No disponible o no reportan</w:t>
      </w:r>
      <w:r w:rsidR="009770E2" w:rsidRPr="001B610A">
        <w:rPr>
          <w:rFonts w:ascii="Montserrat" w:hAnsi="Montserrat" w:cs="Arial"/>
          <w:bCs/>
          <w:sz w:val="16"/>
          <w:szCs w:val="16"/>
          <w:lang w:val="es-MX"/>
        </w:rPr>
        <w:t xml:space="preserve"> información</w:t>
      </w:r>
      <w:r w:rsidRPr="001B610A">
        <w:rPr>
          <w:rFonts w:ascii="Montserrat" w:hAnsi="Montserrat" w:cs="Arial"/>
          <w:bCs/>
          <w:sz w:val="16"/>
          <w:szCs w:val="16"/>
          <w:lang w:val="es-MX"/>
        </w:rPr>
        <w:t>.</w:t>
      </w:r>
    </w:p>
    <w:p w14:paraId="1188E720" w14:textId="77777777" w:rsidR="00EF632B" w:rsidRPr="001B610A" w:rsidRDefault="00EF632B" w:rsidP="00C96C4D">
      <w:pPr>
        <w:spacing w:line="360" w:lineRule="auto"/>
        <w:ind w:right="6"/>
        <w:jc w:val="both"/>
        <w:rPr>
          <w:rFonts w:ascii="Montserrat" w:hAnsi="Montserrat" w:cs="Arial"/>
          <w:b/>
          <w:bCs/>
          <w:sz w:val="16"/>
          <w:szCs w:val="16"/>
          <w:lang w:val="es-MX"/>
        </w:rPr>
      </w:pPr>
    </w:p>
    <w:p w14:paraId="5D3980AC" w14:textId="77777777" w:rsidR="0015682D" w:rsidRDefault="0015682D" w:rsidP="00345617">
      <w:pPr>
        <w:spacing w:line="360" w:lineRule="auto"/>
        <w:ind w:right="6"/>
        <w:jc w:val="both"/>
        <w:rPr>
          <w:rFonts w:ascii="Montserrat" w:hAnsi="Montserrat" w:cs="Arial"/>
          <w:b/>
          <w:bCs/>
          <w:sz w:val="18"/>
          <w:szCs w:val="18"/>
          <w:lang w:val="es-MX"/>
        </w:rPr>
      </w:pPr>
    </w:p>
    <w:p w14:paraId="21E82EED" w14:textId="5CB66B26" w:rsidR="008B48AB" w:rsidRPr="001B610A" w:rsidRDefault="00805D28" w:rsidP="00345617">
      <w:pPr>
        <w:spacing w:line="360" w:lineRule="auto"/>
        <w:ind w:right="6"/>
        <w:jc w:val="both"/>
        <w:rPr>
          <w:rFonts w:ascii="Montserrat" w:hAnsi="Montserrat" w:cs="Arial"/>
          <w:b/>
          <w:sz w:val="18"/>
          <w:szCs w:val="18"/>
          <w:lang w:val="es-ES_tradnl"/>
        </w:rPr>
      </w:pPr>
      <w:r w:rsidRPr="001B610A">
        <w:rPr>
          <w:rFonts w:ascii="Montserrat" w:hAnsi="Montserrat" w:cs="Arial"/>
          <w:b/>
          <w:bCs/>
          <w:sz w:val="18"/>
          <w:szCs w:val="18"/>
          <w:lang w:val="es-MX"/>
        </w:rPr>
        <w:t>II.</w:t>
      </w:r>
      <w:r w:rsidR="00160027" w:rsidRPr="001B610A">
        <w:rPr>
          <w:rFonts w:ascii="Montserrat" w:hAnsi="Montserrat" w:cs="Arial"/>
          <w:b/>
          <w:bCs/>
          <w:sz w:val="18"/>
          <w:szCs w:val="18"/>
          <w:lang w:val="es-MX"/>
        </w:rPr>
        <w:t xml:space="preserve">2. </w:t>
      </w:r>
      <w:r w:rsidR="00110697" w:rsidRPr="001B610A">
        <w:rPr>
          <w:rFonts w:ascii="Montserrat" w:hAnsi="Montserrat" w:cs="Arial"/>
          <w:b/>
          <w:sz w:val="18"/>
          <w:szCs w:val="18"/>
          <w:lang w:val="es-ES_tradnl"/>
        </w:rPr>
        <w:t>ESTRUCTURA GENERAL DE LOS CUADROS</w:t>
      </w:r>
    </w:p>
    <w:p w14:paraId="635CEFAB" w14:textId="77777777" w:rsidR="004F5641" w:rsidRPr="001B610A" w:rsidRDefault="008B1141" w:rsidP="00A8537B">
      <w:pPr>
        <w:spacing w:line="276" w:lineRule="auto"/>
        <w:jc w:val="both"/>
        <w:rPr>
          <w:rFonts w:ascii="Montserrat" w:hAnsi="Montserrat" w:cs="Arial"/>
          <w:sz w:val="20"/>
          <w:szCs w:val="16"/>
          <w:lang w:val="es-ES_tradnl"/>
        </w:rPr>
      </w:pPr>
      <w:r w:rsidRPr="001B610A">
        <w:rPr>
          <w:rFonts w:ascii="Montserrat" w:hAnsi="Montserrat" w:cs="Arial"/>
          <w:sz w:val="20"/>
          <w:szCs w:val="16"/>
          <w:lang w:val="es-ES_tradnl"/>
        </w:rPr>
        <w:t>La es</w:t>
      </w:r>
      <w:r w:rsidR="00930413" w:rsidRPr="001B610A">
        <w:rPr>
          <w:rFonts w:ascii="Montserrat" w:hAnsi="Montserrat" w:cs="Arial"/>
          <w:sz w:val="20"/>
          <w:szCs w:val="16"/>
          <w:lang w:val="es-ES_tradnl"/>
        </w:rPr>
        <w:t>tructura de los cuadros muestra los recursos de las diferentes instituciones de</w:t>
      </w:r>
      <w:r w:rsidR="0037581A" w:rsidRPr="001B610A">
        <w:rPr>
          <w:rFonts w:ascii="Montserrat" w:hAnsi="Montserrat" w:cs="Arial"/>
          <w:sz w:val="20"/>
          <w:szCs w:val="16"/>
          <w:lang w:val="es-ES_tradnl"/>
        </w:rPr>
        <w:t>l sector</w:t>
      </w:r>
      <w:r w:rsidR="00930413" w:rsidRPr="001B610A">
        <w:rPr>
          <w:rFonts w:ascii="Montserrat" w:hAnsi="Montserrat" w:cs="Arial"/>
          <w:sz w:val="20"/>
          <w:szCs w:val="16"/>
          <w:lang w:val="es-ES_tradnl"/>
        </w:rPr>
        <w:t xml:space="preserve"> salud, ordenados por entidad federativa, población e institución (véase figura </w:t>
      </w:r>
      <w:r w:rsidR="009E09FE" w:rsidRPr="001B610A">
        <w:rPr>
          <w:rFonts w:ascii="Montserrat" w:hAnsi="Montserrat" w:cs="Arial"/>
          <w:sz w:val="20"/>
          <w:szCs w:val="16"/>
          <w:lang w:val="es-ES_tradnl"/>
        </w:rPr>
        <w:t>5</w:t>
      </w:r>
      <w:r w:rsidR="00930413" w:rsidRPr="001B610A">
        <w:rPr>
          <w:rFonts w:ascii="Montserrat" w:hAnsi="Montserrat" w:cs="Arial"/>
          <w:sz w:val="20"/>
          <w:szCs w:val="16"/>
          <w:lang w:val="es-ES_tradnl"/>
        </w:rPr>
        <w:t>).</w:t>
      </w:r>
    </w:p>
    <w:p w14:paraId="7F636E73" w14:textId="77777777" w:rsidR="00495CC2" w:rsidRPr="001B610A" w:rsidRDefault="00495CC2" w:rsidP="004F5641">
      <w:pPr>
        <w:spacing w:line="360" w:lineRule="auto"/>
        <w:jc w:val="both"/>
        <w:rPr>
          <w:rFonts w:ascii="Montserrat" w:hAnsi="Montserrat" w:cs="Arial"/>
          <w:sz w:val="16"/>
          <w:szCs w:val="16"/>
          <w:lang w:val="es-ES_tradnl"/>
        </w:rPr>
      </w:pPr>
    </w:p>
    <w:p w14:paraId="2491313B" w14:textId="77777777" w:rsidR="00495CC2" w:rsidRPr="008E0B2F" w:rsidRDefault="00495CC2" w:rsidP="00F071C2">
      <w:pPr>
        <w:spacing w:line="360" w:lineRule="auto"/>
        <w:jc w:val="both"/>
        <w:outlineLvl w:val="0"/>
        <w:rPr>
          <w:rFonts w:ascii="Montserrat" w:hAnsi="Montserrat" w:cs="Arial"/>
          <w:b/>
          <w:sz w:val="18"/>
          <w:szCs w:val="18"/>
          <w:lang w:val="es-ES_tradnl"/>
        </w:rPr>
      </w:pPr>
      <w:r w:rsidRPr="008E0B2F">
        <w:rPr>
          <w:rFonts w:ascii="Montserrat" w:hAnsi="Montserrat" w:cs="Arial"/>
          <w:b/>
          <w:sz w:val="18"/>
          <w:szCs w:val="18"/>
          <w:lang w:val="es-ES_tradnl"/>
        </w:rPr>
        <w:t xml:space="preserve">Figura </w:t>
      </w:r>
      <w:r w:rsidR="009E09FE" w:rsidRPr="008E0B2F">
        <w:rPr>
          <w:rFonts w:ascii="Montserrat" w:hAnsi="Montserrat" w:cs="Arial"/>
          <w:b/>
          <w:sz w:val="18"/>
          <w:szCs w:val="18"/>
          <w:lang w:val="es-ES_tradnl"/>
        </w:rPr>
        <w:t>5</w:t>
      </w:r>
      <w:r w:rsidRPr="008E0B2F">
        <w:rPr>
          <w:rFonts w:ascii="Montserrat" w:hAnsi="Montserrat" w:cs="Arial"/>
          <w:b/>
          <w:sz w:val="18"/>
          <w:szCs w:val="18"/>
          <w:lang w:val="es-ES_tradnl"/>
        </w:rPr>
        <w:t>.</w:t>
      </w:r>
      <w:r w:rsidR="00650182" w:rsidRPr="008E0B2F">
        <w:rPr>
          <w:rFonts w:ascii="Montserrat" w:hAnsi="Montserrat" w:cs="Arial"/>
          <w:b/>
          <w:sz w:val="18"/>
          <w:szCs w:val="18"/>
          <w:lang w:val="es-ES_tradnl"/>
        </w:rPr>
        <w:t xml:space="preserve"> </w:t>
      </w:r>
      <w:r w:rsidR="00F868D6" w:rsidRPr="008E0B2F">
        <w:rPr>
          <w:rFonts w:ascii="Montserrat" w:hAnsi="Montserrat" w:cs="Arial"/>
          <w:b/>
          <w:sz w:val="18"/>
          <w:szCs w:val="18"/>
          <w:lang w:val="es-ES_tradnl"/>
        </w:rPr>
        <w:t>Estructura de cuadros estadísticos</w:t>
      </w:r>
    </w:p>
    <w:tbl>
      <w:tblPr>
        <w:tblW w:w="9753" w:type="dxa"/>
        <w:jc w:val="center"/>
        <w:tblLook w:val="0000" w:firstRow="0" w:lastRow="0" w:firstColumn="0" w:lastColumn="0" w:noHBand="0" w:noVBand="0"/>
      </w:tblPr>
      <w:tblGrid>
        <w:gridCol w:w="1129"/>
        <w:gridCol w:w="1806"/>
        <w:gridCol w:w="2088"/>
        <w:gridCol w:w="1306"/>
        <w:gridCol w:w="236"/>
        <w:gridCol w:w="2088"/>
        <w:gridCol w:w="1306"/>
      </w:tblGrid>
      <w:tr w:rsidR="00605F2B" w:rsidRPr="001B610A" w14:paraId="7A7F181D" w14:textId="77777777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A7D39" w14:textId="77777777" w:rsidR="00605F2B" w:rsidRPr="001B610A" w:rsidRDefault="00605F2B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RECURSO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2D6EA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B955E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E0020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C8AE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A9B32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09ACA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05F2B" w:rsidRPr="001B610A" w14:paraId="6E890064" w14:textId="77777777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CFD7A" w14:textId="77777777" w:rsidR="00605F2B" w:rsidRPr="001B610A" w:rsidRDefault="00605F2B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NOMBRE DEL CUADRO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535B7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AAC30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C66E9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4B856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07DDA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05F2B" w:rsidRPr="001B610A" w14:paraId="1F1DBCB6" w14:textId="77777777" w:rsidTr="008E0B2F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E0E142" w14:textId="77777777" w:rsidR="00605F2B" w:rsidRPr="001B610A" w:rsidRDefault="00976475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20</w:t>
            </w:r>
            <w:r w:rsidR="009E09FE"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1</w:t>
            </w:r>
            <w:r w:rsidR="00EF3318"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2E6E3B" w14:textId="77777777" w:rsidR="00605F2B" w:rsidRPr="001B610A" w:rsidRDefault="00605F2B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478B53" w14:textId="77777777" w:rsidR="00605F2B" w:rsidRPr="001B610A" w:rsidRDefault="00605F2B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B8CA57" w14:textId="77777777" w:rsidR="00605F2B" w:rsidRPr="001B610A" w:rsidRDefault="00605F2B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7479F" w14:textId="77777777" w:rsidR="00605F2B" w:rsidRPr="001B610A" w:rsidRDefault="00605F2B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C35455" w14:textId="77777777" w:rsidR="00605F2B" w:rsidRPr="001B610A" w:rsidRDefault="00605F2B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873C36" w14:textId="77777777" w:rsidR="00605F2B" w:rsidRPr="001B610A" w:rsidRDefault="00605F2B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</w:tc>
      </w:tr>
      <w:tr w:rsidR="00605F2B" w:rsidRPr="001B610A" w14:paraId="3AA31721" w14:textId="77777777" w:rsidTr="008E0B2F">
        <w:trPr>
          <w:trHeight w:val="228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13322B" w:themeFill="accent3"/>
            <w:vAlign w:val="center"/>
          </w:tcPr>
          <w:p w14:paraId="52DD4478" w14:textId="77777777" w:rsidR="00605F2B" w:rsidRPr="001B610A" w:rsidRDefault="00605F2B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Entidad federativa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13322B" w:themeFill="accent3"/>
            <w:vAlign w:val="center"/>
          </w:tcPr>
          <w:p w14:paraId="0D988BD5" w14:textId="77777777" w:rsidR="00605F2B" w:rsidRPr="001B610A" w:rsidRDefault="00605F2B" w:rsidP="00C83882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Total (</w:t>
            </w:r>
            <w:r w:rsidR="00C83882" w:rsidRPr="001B610A">
              <w:rPr>
                <w:rFonts w:ascii="Montserrat" w:hAnsi="Montserrat" w:cs="Arial"/>
                <w:bCs/>
                <w:sz w:val="14"/>
                <w:szCs w:val="16"/>
              </w:rPr>
              <w:t>E</w:t>
            </w:r>
            <w:r w:rsidR="00C83882" w:rsidRPr="001B610A">
              <w:rPr>
                <w:rFonts w:ascii="Montserrat" w:hAnsi="Montserrat" w:cs="Arial"/>
                <w:bCs/>
                <w:sz w:val="12"/>
                <w:szCs w:val="16"/>
              </w:rPr>
              <w:t>s la suma de las instituciones de la población asegurada y no asegurada</w:t>
            </w: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13322B" w:themeFill="accent3"/>
            <w:vAlign w:val="center"/>
          </w:tcPr>
          <w:p w14:paraId="303934DC" w14:textId="77777777" w:rsidR="00605F2B" w:rsidRPr="001B610A" w:rsidRDefault="00605F2B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Población no asegurada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13322B" w:themeFill="accent3"/>
            <w:vAlign w:val="center"/>
          </w:tcPr>
          <w:p w14:paraId="1DADA488" w14:textId="77777777" w:rsidR="00605F2B" w:rsidRPr="001B610A" w:rsidRDefault="00605F2B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13322B" w:themeFill="accent3"/>
            <w:noWrap/>
            <w:vAlign w:val="center"/>
          </w:tcPr>
          <w:p w14:paraId="298DA942" w14:textId="77777777" w:rsidR="00605F2B" w:rsidRPr="001B610A" w:rsidRDefault="00605F2B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Población asegurada</w:t>
            </w:r>
          </w:p>
        </w:tc>
      </w:tr>
      <w:tr w:rsidR="00605F2B" w:rsidRPr="001B610A" w14:paraId="619DCD2F" w14:textId="77777777" w:rsidTr="008E0B2F">
        <w:trPr>
          <w:trHeight w:val="1103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13322B" w:themeFill="accent3"/>
            <w:vAlign w:val="center"/>
          </w:tcPr>
          <w:p w14:paraId="1DBB11C6" w14:textId="77777777" w:rsidR="00605F2B" w:rsidRPr="001B610A" w:rsidRDefault="00605F2B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13322B" w:themeFill="accent3"/>
            <w:vAlign w:val="center"/>
          </w:tcPr>
          <w:p w14:paraId="2CA5A908" w14:textId="77777777" w:rsidR="00605F2B" w:rsidRPr="001B610A" w:rsidRDefault="00605F2B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13322B" w:themeFill="accent3"/>
            <w:vAlign w:val="center"/>
          </w:tcPr>
          <w:p w14:paraId="6A52520C" w14:textId="77777777" w:rsidR="00605F2B" w:rsidRPr="001B610A" w:rsidRDefault="00605F2B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Subtotal (</w:t>
            </w:r>
            <w:r w:rsidR="00C83882" w:rsidRPr="001B610A">
              <w:rPr>
                <w:rFonts w:ascii="Montserrat" w:hAnsi="Montserrat" w:cs="Arial"/>
                <w:bCs/>
                <w:sz w:val="12"/>
                <w:szCs w:val="16"/>
              </w:rPr>
              <w:t>Es la suma de las instituciones de la población no asegurada</w:t>
            </w: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0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13322B" w:themeFill="accent3"/>
            <w:vAlign w:val="center"/>
          </w:tcPr>
          <w:p w14:paraId="732294C3" w14:textId="77777777" w:rsidR="00605F2B" w:rsidRPr="001B610A" w:rsidRDefault="00605F2B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Instituciones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13322B" w:themeFill="accent3"/>
            <w:vAlign w:val="center"/>
          </w:tcPr>
          <w:p w14:paraId="10B1E717" w14:textId="77777777" w:rsidR="00605F2B" w:rsidRPr="001B610A" w:rsidRDefault="00605F2B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13322B" w:themeFill="accent3"/>
            <w:vAlign w:val="center"/>
          </w:tcPr>
          <w:p w14:paraId="13FB26B7" w14:textId="77777777" w:rsidR="00605F2B" w:rsidRPr="001B610A" w:rsidRDefault="00605F2B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Subtotal (</w:t>
            </w:r>
            <w:r w:rsidR="00C83882" w:rsidRPr="001B610A">
              <w:rPr>
                <w:rFonts w:ascii="Montserrat" w:hAnsi="Montserrat" w:cs="Arial"/>
                <w:bCs/>
                <w:sz w:val="12"/>
                <w:szCs w:val="16"/>
              </w:rPr>
              <w:t>Es la suma de las instituciones de la población asegurada</w:t>
            </w: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13322B" w:themeFill="accent3"/>
            <w:vAlign w:val="center"/>
          </w:tcPr>
          <w:p w14:paraId="2508E74A" w14:textId="77777777" w:rsidR="00605F2B" w:rsidRPr="001B610A" w:rsidRDefault="00605F2B">
            <w:pPr>
              <w:jc w:val="center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/>
                <w:bCs/>
                <w:sz w:val="16"/>
                <w:szCs w:val="16"/>
              </w:rPr>
              <w:t>Instituciones</w:t>
            </w:r>
          </w:p>
        </w:tc>
      </w:tr>
      <w:tr w:rsidR="00605F2B" w:rsidRPr="001B610A" w14:paraId="752FECB4" w14:textId="77777777" w:rsidTr="008E0B2F">
        <w:trPr>
          <w:trHeight w:val="202"/>
          <w:jc w:val="center"/>
        </w:trPr>
        <w:tc>
          <w:tcPr>
            <w:tcW w:w="1129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572F7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86758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146F3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BCA04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1FCC8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B4BEA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C1FE2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05F2B" w:rsidRPr="001B610A" w14:paraId="74C96066" w14:textId="77777777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899CB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0E9DF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8E3C8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74C58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899E6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4BC6F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DCACA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05F2B" w:rsidRPr="001B610A" w14:paraId="531338BB" w14:textId="77777777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43205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FEB85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B10FB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7217C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C63A5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7835D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75921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05F2B" w:rsidRPr="001B610A" w14:paraId="585AFD1B" w14:textId="77777777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42D96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58A31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34434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C66E4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4172A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97409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54593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05F2B" w:rsidRPr="001B610A" w14:paraId="41CD961A" w14:textId="77777777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ACD372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87FB3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7D437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501D2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83A5D6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DE6B3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82058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05F2B" w:rsidRPr="001B610A" w14:paraId="6A3022DA" w14:textId="77777777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43DE3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6EA28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1DF52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0F7A6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9713F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A64D6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B559D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05F2B" w:rsidRPr="001B610A" w14:paraId="0E9D9227" w14:textId="77777777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5F596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B6705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BD108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EEBCF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93E1D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0B72C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00E9D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05F2B" w:rsidRPr="001B610A" w14:paraId="135645B6" w14:textId="77777777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FC91F9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sz w:val="16"/>
                <w:szCs w:val="16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78D2F3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sz w:val="16"/>
                <w:szCs w:val="16"/>
              </w:rPr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4197C8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68B5E4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6A453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AADC58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D3EDCB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sz w:val="16"/>
                <w:szCs w:val="16"/>
              </w:rPr>
              <w:t> </w:t>
            </w:r>
          </w:p>
        </w:tc>
      </w:tr>
      <w:tr w:rsidR="00605F2B" w:rsidRPr="001B610A" w14:paraId="1B6352D4" w14:textId="77777777">
        <w:trPr>
          <w:trHeight w:val="202"/>
          <w:jc w:val="center"/>
        </w:trPr>
        <w:tc>
          <w:tcPr>
            <w:tcW w:w="6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BD1D19" w14:textId="77777777" w:rsidR="00605F2B" w:rsidRPr="001B610A" w:rsidRDefault="00605F2B">
            <w:pPr>
              <w:rPr>
                <w:rFonts w:ascii="Montserrat" w:hAnsi="Montserrat" w:cs="Arial"/>
                <w:bCs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Cs/>
                <w:sz w:val="16"/>
                <w:szCs w:val="16"/>
              </w:rPr>
              <w:t>Notas metodológicas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23AF2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C4149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17286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605F2B" w:rsidRPr="001B610A" w14:paraId="0840252A" w14:textId="77777777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6D41D1" w14:textId="77777777" w:rsidR="00605F2B" w:rsidRPr="001B610A" w:rsidRDefault="00605F2B">
            <w:pPr>
              <w:rPr>
                <w:rFonts w:ascii="Montserrat" w:hAnsi="Montserrat" w:cs="Arial"/>
                <w:bCs/>
                <w:sz w:val="16"/>
                <w:szCs w:val="16"/>
              </w:rPr>
            </w:pPr>
            <w:proofErr w:type="spellStart"/>
            <w:r w:rsidRPr="001B610A">
              <w:rPr>
                <w:rFonts w:ascii="Montserrat" w:hAnsi="Montserrat" w:cs="Arial"/>
                <w:bCs/>
                <w:sz w:val="16"/>
                <w:szCs w:val="16"/>
              </w:rPr>
              <w:t>nd</w:t>
            </w:r>
            <w:proofErr w:type="spellEnd"/>
            <w:r w:rsidRPr="001B610A">
              <w:rPr>
                <w:rFonts w:ascii="Montserrat" w:hAnsi="Montserrat" w:cs="Arial"/>
                <w:bCs/>
                <w:sz w:val="16"/>
                <w:szCs w:val="16"/>
              </w:rPr>
              <w:t>/ No disponible.</w:t>
            </w:r>
          </w:p>
        </w:tc>
        <w:tc>
          <w:tcPr>
            <w:tcW w:w="2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82CE9D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3D0ECA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6D263C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60B73F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62B17E" w14:textId="77777777" w:rsidR="00605F2B" w:rsidRPr="001B610A" w:rsidRDefault="00605F2B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F868D6" w:rsidRPr="001B610A" w14:paraId="73ADB122" w14:textId="77777777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E6F70" w14:textId="77777777" w:rsidR="00F868D6" w:rsidRPr="001B610A" w:rsidRDefault="00F868D6">
            <w:pPr>
              <w:rPr>
                <w:rFonts w:ascii="Montserrat" w:hAnsi="Montserrat" w:cs="Arial"/>
                <w:sz w:val="16"/>
                <w:szCs w:val="16"/>
              </w:rPr>
            </w:pPr>
            <w:r w:rsidRPr="001B610A">
              <w:rPr>
                <w:rFonts w:ascii="Montserrat" w:hAnsi="Montserrat" w:cs="Arial"/>
                <w:bCs/>
                <w:sz w:val="16"/>
                <w:szCs w:val="16"/>
              </w:rPr>
              <w:t>na/ No aplica.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5D17D" w14:textId="77777777" w:rsidR="00F868D6" w:rsidRPr="001B610A" w:rsidRDefault="00F868D6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26BEB" w14:textId="77777777" w:rsidR="00F868D6" w:rsidRPr="001B610A" w:rsidRDefault="00F868D6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30977" w14:textId="77777777" w:rsidR="00F868D6" w:rsidRPr="001B610A" w:rsidRDefault="00F868D6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ECDB4" w14:textId="77777777" w:rsidR="00F868D6" w:rsidRPr="001B610A" w:rsidRDefault="00F868D6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66A6D" w14:textId="77777777" w:rsidR="00F868D6" w:rsidRPr="001B610A" w:rsidRDefault="00F868D6">
            <w:pPr>
              <w:rPr>
                <w:rFonts w:ascii="Montserrat" w:hAnsi="Montserrat" w:cs="Arial"/>
                <w:sz w:val="16"/>
                <w:szCs w:val="16"/>
              </w:rPr>
            </w:pPr>
          </w:p>
        </w:tc>
      </w:tr>
    </w:tbl>
    <w:p w14:paraId="697167E0" w14:textId="77777777" w:rsidR="00930413" w:rsidRPr="001B610A" w:rsidRDefault="00930413" w:rsidP="00496516">
      <w:pPr>
        <w:spacing w:line="360" w:lineRule="auto"/>
        <w:jc w:val="both"/>
        <w:rPr>
          <w:rFonts w:ascii="Montserrat" w:hAnsi="Montserrat" w:cs="Arial"/>
          <w:sz w:val="16"/>
          <w:szCs w:val="16"/>
          <w:lang w:val="es-ES_tradnl"/>
        </w:rPr>
      </w:pPr>
    </w:p>
    <w:p w14:paraId="3EAAE666" w14:textId="77777777" w:rsidR="00396C1C" w:rsidRPr="001B610A" w:rsidRDefault="00004BAB" w:rsidP="00A8537B">
      <w:pPr>
        <w:spacing w:line="276" w:lineRule="auto"/>
        <w:jc w:val="both"/>
        <w:rPr>
          <w:rFonts w:ascii="Montserrat" w:hAnsi="Montserrat" w:cs="Arial"/>
          <w:sz w:val="20"/>
          <w:szCs w:val="16"/>
          <w:lang w:val="es-ES_tradnl"/>
        </w:rPr>
      </w:pPr>
      <w:r w:rsidRPr="001B610A">
        <w:rPr>
          <w:rFonts w:ascii="Montserrat" w:hAnsi="Montserrat" w:cs="Arial"/>
          <w:sz w:val="20"/>
          <w:szCs w:val="16"/>
          <w:lang w:val="es-ES_tradnl"/>
        </w:rPr>
        <w:t xml:space="preserve">Las </w:t>
      </w:r>
      <w:r w:rsidR="00663953" w:rsidRPr="001B610A">
        <w:rPr>
          <w:rFonts w:ascii="Montserrat" w:hAnsi="Montserrat" w:cs="Arial"/>
          <w:sz w:val="20"/>
          <w:szCs w:val="16"/>
          <w:lang w:val="es-ES_tradnl"/>
        </w:rPr>
        <w:t>notas metodológi</w:t>
      </w:r>
      <w:r w:rsidR="00495CC2" w:rsidRPr="001B610A">
        <w:rPr>
          <w:rFonts w:ascii="Montserrat" w:hAnsi="Montserrat" w:cs="Arial"/>
          <w:sz w:val="20"/>
          <w:szCs w:val="16"/>
          <w:lang w:val="es-ES_tradnl"/>
        </w:rPr>
        <w:t xml:space="preserve">cas son un llamado para aclarar algún punto en particular o bien, </w:t>
      </w:r>
      <w:r w:rsidR="00496516" w:rsidRPr="001B610A">
        <w:rPr>
          <w:rFonts w:ascii="Montserrat" w:hAnsi="Montserrat" w:cs="Arial"/>
          <w:sz w:val="20"/>
          <w:szCs w:val="16"/>
          <w:lang w:val="es-ES_tradnl"/>
        </w:rPr>
        <w:t>h</w:t>
      </w:r>
      <w:r w:rsidR="00495CC2" w:rsidRPr="001B610A">
        <w:rPr>
          <w:rFonts w:ascii="Montserrat" w:hAnsi="Montserrat" w:cs="Arial"/>
          <w:sz w:val="20"/>
          <w:szCs w:val="16"/>
          <w:lang w:val="es-ES_tradnl"/>
        </w:rPr>
        <w:t>ace</w:t>
      </w:r>
      <w:r w:rsidR="009E09FE" w:rsidRPr="001B610A">
        <w:rPr>
          <w:rFonts w:ascii="Montserrat" w:hAnsi="Montserrat" w:cs="Arial"/>
          <w:sz w:val="20"/>
          <w:szCs w:val="16"/>
          <w:lang w:val="es-ES_tradnl"/>
        </w:rPr>
        <w:t>n</w:t>
      </w:r>
      <w:r w:rsidR="00495CC2" w:rsidRPr="001B610A">
        <w:rPr>
          <w:rFonts w:ascii="Montserrat" w:hAnsi="Montserrat" w:cs="Arial"/>
          <w:sz w:val="20"/>
          <w:szCs w:val="16"/>
          <w:lang w:val="es-ES_tradnl"/>
        </w:rPr>
        <w:t xml:space="preserve"> referencia a un texto complementario del cuadro estadístico.</w:t>
      </w:r>
    </w:p>
    <w:p w14:paraId="3D55B1B8" w14:textId="77777777" w:rsidR="00427F27" w:rsidRPr="001B610A" w:rsidRDefault="00427F27" w:rsidP="00A8537B">
      <w:pPr>
        <w:spacing w:line="276" w:lineRule="auto"/>
        <w:jc w:val="both"/>
        <w:rPr>
          <w:rFonts w:ascii="Montserrat" w:hAnsi="Montserrat" w:cs="Arial"/>
          <w:sz w:val="20"/>
          <w:szCs w:val="16"/>
          <w:lang w:val="es-ES_tradnl"/>
        </w:rPr>
      </w:pPr>
    </w:p>
    <w:p w14:paraId="1B8FB171" w14:textId="77777777" w:rsidR="006448ED" w:rsidRPr="001B610A" w:rsidRDefault="00427F27" w:rsidP="00A8537B">
      <w:pPr>
        <w:spacing w:line="276" w:lineRule="auto"/>
        <w:jc w:val="both"/>
        <w:rPr>
          <w:rFonts w:ascii="Montserrat" w:hAnsi="Montserrat" w:cs="Arial"/>
          <w:sz w:val="20"/>
          <w:szCs w:val="16"/>
          <w:lang w:val="es-ES_tradnl"/>
        </w:rPr>
      </w:pPr>
      <w:r w:rsidRPr="001B610A">
        <w:rPr>
          <w:rFonts w:ascii="Montserrat" w:hAnsi="Montserrat" w:cs="Arial"/>
          <w:sz w:val="20"/>
          <w:szCs w:val="16"/>
          <w:lang w:val="es-ES_tradnl"/>
        </w:rPr>
        <w:t xml:space="preserve">Los </w:t>
      </w:r>
      <w:r w:rsidR="00F95FCC" w:rsidRPr="001B610A">
        <w:rPr>
          <w:rFonts w:ascii="Montserrat" w:hAnsi="Montserrat" w:cs="Arial"/>
          <w:sz w:val="20"/>
          <w:szCs w:val="16"/>
          <w:lang w:val="es-ES_tradnl"/>
        </w:rPr>
        <w:t xml:space="preserve">campos en </w:t>
      </w:r>
      <w:r w:rsidR="009E09FE" w:rsidRPr="001B610A">
        <w:rPr>
          <w:rFonts w:ascii="Montserrat" w:hAnsi="Montserrat" w:cs="Arial"/>
          <w:sz w:val="20"/>
          <w:szCs w:val="16"/>
          <w:lang w:val="es-ES_tradnl"/>
        </w:rPr>
        <w:t>“0” (cero)</w:t>
      </w:r>
      <w:r w:rsidR="00F95FCC" w:rsidRPr="001B610A">
        <w:rPr>
          <w:rFonts w:ascii="Montserrat" w:hAnsi="Montserrat" w:cs="Arial"/>
          <w:sz w:val="20"/>
          <w:szCs w:val="16"/>
          <w:lang w:val="es-ES_tradnl"/>
        </w:rPr>
        <w:t xml:space="preserve"> significan que el recurso no fue reportado o bien que la institución no cuenta con el recurso</w:t>
      </w:r>
      <w:r w:rsidRPr="001B610A">
        <w:rPr>
          <w:rFonts w:ascii="Montserrat" w:hAnsi="Montserrat" w:cs="Arial"/>
          <w:sz w:val="20"/>
          <w:szCs w:val="16"/>
          <w:lang w:val="es-ES_tradnl"/>
        </w:rPr>
        <w:t>.</w:t>
      </w:r>
    </w:p>
    <w:sectPr w:rsidR="006448ED" w:rsidRPr="001B610A" w:rsidSect="002D5F87">
      <w:footerReference w:type="even" r:id="rId8"/>
      <w:footerReference w:type="default" r:id="rId9"/>
      <w:type w:val="continuous"/>
      <w:pgSz w:w="12240" w:h="15840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BBF1F" w14:textId="77777777" w:rsidR="00AF7E7F" w:rsidRDefault="00AF7E7F">
      <w:r>
        <w:separator/>
      </w:r>
    </w:p>
  </w:endnote>
  <w:endnote w:type="continuationSeparator" w:id="0">
    <w:p w14:paraId="43D76B80" w14:textId="77777777" w:rsidR="00AF7E7F" w:rsidRDefault="00AF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79B9" w14:textId="77777777" w:rsidR="008A4FF0" w:rsidRDefault="00497DAC" w:rsidP="00C231E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A4FF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8B84AC" w14:textId="77777777" w:rsidR="008A4FF0" w:rsidRDefault="008A4FF0" w:rsidP="00921C8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69D4B" w14:textId="77777777" w:rsidR="008A4FF0" w:rsidRDefault="00497DAC" w:rsidP="00C231E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A4FF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015F0"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3CAD0A95" w14:textId="77777777" w:rsidR="008A4FF0" w:rsidRDefault="008A4FF0" w:rsidP="00921C8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91129" w14:textId="77777777" w:rsidR="00AF7E7F" w:rsidRDefault="00AF7E7F">
      <w:r>
        <w:separator/>
      </w:r>
    </w:p>
  </w:footnote>
  <w:footnote w:type="continuationSeparator" w:id="0">
    <w:p w14:paraId="2360C026" w14:textId="77777777" w:rsidR="00AF7E7F" w:rsidRDefault="00AF7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2310C"/>
    <w:multiLevelType w:val="hybridMultilevel"/>
    <w:tmpl w:val="9D600A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4B7802"/>
    <w:multiLevelType w:val="hybridMultilevel"/>
    <w:tmpl w:val="D1EAA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C35665"/>
    <w:multiLevelType w:val="hybridMultilevel"/>
    <w:tmpl w:val="566824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4371AB"/>
    <w:multiLevelType w:val="hybridMultilevel"/>
    <w:tmpl w:val="1152F3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F034F7"/>
    <w:multiLevelType w:val="hybridMultilevel"/>
    <w:tmpl w:val="25EA0F1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B7"/>
    <w:rsid w:val="00004BAB"/>
    <w:rsid w:val="000070CC"/>
    <w:rsid w:val="00010AB1"/>
    <w:rsid w:val="000164A3"/>
    <w:rsid w:val="00022B0A"/>
    <w:rsid w:val="0004343D"/>
    <w:rsid w:val="00050F9B"/>
    <w:rsid w:val="0005357A"/>
    <w:rsid w:val="00063854"/>
    <w:rsid w:val="000651FA"/>
    <w:rsid w:val="00067EAC"/>
    <w:rsid w:val="00072A98"/>
    <w:rsid w:val="0007376A"/>
    <w:rsid w:val="0008694E"/>
    <w:rsid w:val="00096DDC"/>
    <w:rsid w:val="000A35E3"/>
    <w:rsid w:val="000B21B4"/>
    <w:rsid w:val="000B5249"/>
    <w:rsid w:val="000C2118"/>
    <w:rsid w:val="000C4644"/>
    <w:rsid w:val="000D0ED6"/>
    <w:rsid w:val="000D303C"/>
    <w:rsid w:val="000F1F3C"/>
    <w:rsid w:val="00102FC9"/>
    <w:rsid w:val="00110697"/>
    <w:rsid w:val="00124EFC"/>
    <w:rsid w:val="00125C78"/>
    <w:rsid w:val="00127289"/>
    <w:rsid w:val="001277BF"/>
    <w:rsid w:val="00130059"/>
    <w:rsid w:val="00141A79"/>
    <w:rsid w:val="001517ED"/>
    <w:rsid w:val="00155AFF"/>
    <w:rsid w:val="0015682D"/>
    <w:rsid w:val="00160027"/>
    <w:rsid w:val="00165446"/>
    <w:rsid w:val="00166121"/>
    <w:rsid w:val="0018331E"/>
    <w:rsid w:val="00186FE0"/>
    <w:rsid w:val="001A1F72"/>
    <w:rsid w:val="001B0E80"/>
    <w:rsid w:val="001B610A"/>
    <w:rsid w:val="001B7A5F"/>
    <w:rsid w:val="001D2CD1"/>
    <w:rsid w:val="001E0BB6"/>
    <w:rsid w:val="001F1F00"/>
    <w:rsid w:val="00203236"/>
    <w:rsid w:val="00214E05"/>
    <w:rsid w:val="00216DC3"/>
    <w:rsid w:val="002223C0"/>
    <w:rsid w:val="00235F33"/>
    <w:rsid w:val="00243379"/>
    <w:rsid w:val="00263E56"/>
    <w:rsid w:val="00265D6A"/>
    <w:rsid w:val="002666B4"/>
    <w:rsid w:val="002718FE"/>
    <w:rsid w:val="002742C0"/>
    <w:rsid w:val="0027528C"/>
    <w:rsid w:val="0027741F"/>
    <w:rsid w:val="002805A1"/>
    <w:rsid w:val="00282D81"/>
    <w:rsid w:val="0029605B"/>
    <w:rsid w:val="002A5A85"/>
    <w:rsid w:val="002B3337"/>
    <w:rsid w:val="002B6570"/>
    <w:rsid w:val="002C31E0"/>
    <w:rsid w:val="002D13FE"/>
    <w:rsid w:val="002D1A5D"/>
    <w:rsid w:val="002D2510"/>
    <w:rsid w:val="002D4BFE"/>
    <w:rsid w:val="002D5F87"/>
    <w:rsid w:val="002E4BD7"/>
    <w:rsid w:val="002F30A4"/>
    <w:rsid w:val="002F73C9"/>
    <w:rsid w:val="003061A3"/>
    <w:rsid w:val="00314D4A"/>
    <w:rsid w:val="003251B0"/>
    <w:rsid w:val="00333858"/>
    <w:rsid w:val="003346A2"/>
    <w:rsid w:val="00342ECE"/>
    <w:rsid w:val="00342F3F"/>
    <w:rsid w:val="00345617"/>
    <w:rsid w:val="00352D0D"/>
    <w:rsid w:val="00354013"/>
    <w:rsid w:val="0037581A"/>
    <w:rsid w:val="00376472"/>
    <w:rsid w:val="00394975"/>
    <w:rsid w:val="00396099"/>
    <w:rsid w:val="00396C1C"/>
    <w:rsid w:val="003A002C"/>
    <w:rsid w:val="003B1620"/>
    <w:rsid w:val="003C02DA"/>
    <w:rsid w:val="003C1EFF"/>
    <w:rsid w:val="003C38D0"/>
    <w:rsid w:val="003C6050"/>
    <w:rsid w:val="003D14E6"/>
    <w:rsid w:val="003D2A5B"/>
    <w:rsid w:val="003D4897"/>
    <w:rsid w:val="003E10BD"/>
    <w:rsid w:val="00400109"/>
    <w:rsid w:val="0040626D"/>
    <w:rsid w:val="00411F56"/>
    <w:rsid w:val="004135CB"/>
    <w:rsid w:val="00427F27"/>
    <w:rsid w:val="00442F69"/>
    <w:rsid w:val="0044710C"/>
    <w:rsid w:val="00447598"/>
    <w:rsid w:val="004519B1"/>
    <w:rsid w:val="00460299"/>
    <w:rsid w:val="0048290E"/>
    <w:rsid w:val="00495CC2"/>
    <w:rsid w:val="00496516"/>
    <w:rsid w:val="00496C05"/>
    <w:rsid w:val="00497DAC"/>
    <w:rsid w:val="004B4999"/>
    <w:rsid w:val="004C4DF4"/>
    <w:rsid w:val="004D4F4D"/>
    <w:rsid w:val="004F09DE"/>
    <w:rsid w:val="004F5641"/>
    <w:rsid w:val="004F63BD"/>
    <w:rsid w:val="0050132B"/>
    <w:rsid w:val="00513488"/>
    <w:rsid w:val="005146E7"/>
    <w:rsid w:val="005158B1"/>
    <w:rsid w:val="00534D9C"/>
    <w:rsid w:val="00553998"/>
    <w:rsid w:val="00554D4A"/>
    <w:rsid w:val="00557FB4"/>
    <w:rsid w:val="00565C9F"/>
    <w:rsid w:val="00570236"/>
    <w:rsid w:val="00580C9D"/>
    <w:rsid w:val="005812A0"/>
    <w:rsid w:val="00583BD1"/>
    <w:rsid w:val="00585D15"/>
    <w:rsid w:val="00592B24"/>
    <w:rsid w:val="0059533E"/>
    <w:rsid w:val="00597192"/>
    <w:rsid w:val="005A2E64"/>
    <w:rsid w:val="005A50D7"/>
    <w:rsid w:val="005A65D5"/>
    <w:rsid w:val="005C1888"/>
    <w:rsid w:val="005C6B80"/>
    <w:rsid w:val="005E188D"/>
    <w:rsid w:val="005E439B"/>
    <w:rsid w:val="005E6691"/>
    <w:rsid w:val="005E73AB"/>
    <w:rsid w:val="005F37F4"/>
    <w:rsid w:val="00605F2B"/>
    <w:rsid w:val="006162A9"/>
    <w:rsid w:val="00624E84"/>
    <w:rsid w:val="006308A8"/>
    <w:rsid w:val="006364B3"/>
    <w:rsid w:val="006401E2"/>
    <w:rsid w:val="0064217D"/>
    <w:rsid w:val="006448ED"/>
    <w:rsid w:val="00644C32"/>
    <w:rsid w:val="006477FF"/>
    <w:rsid w:val="00650182"/>
    <w:rsid w:val="00651C60"/>
    <w:rsid w:val="00653406"/>
    <w:rsid w:val="00663953"/>
    <w:rsid w:val="00664D1B"/>
    <w:rsid w:val="00671D0A"/>
    <w:rsid w:val="00681FCF"/>
    <w:rsid w:val="0069408E"/>
    <w:rsid w:val="00695A66"/>
    <w:rsid w:val="006A6AAF"/>
    <w:rsid w:val="006C3CE6"/>
    <w:rsid w:val="006C41C5"/>
    <w:rsid w:val="006D0F5D"/>
    <w:rsid w:val="006D3703"/>
    <w:rsid w:val="006D7A2D"/>
    <w:rsid w:val="006E1736"/>
    <w:rsid w:val="00701AE6"/>
    <w:rsid w:val="007266FE"/>
    <w:rsid w:val="00730DE5"/>
    <w:rsid w:val="007476F2"/>
    <w:rsid w:val="00747E5A"/>
    <w:rsid w:val="00747F10"/>
    <w:rsid w:val="00750EA2"/>
    <w:rsid w:val="00751CF5"/>
    <w:rsid w:val="00753566"/>
    <w:rsid w:val="007653A7"/>
    <w:rsid w:val="0077027C"/>
    <w:rsid w:val="0077194B"/>
    <w:rsid w:val="00790D9E"/>
    <w:rsid w:val="00794551"/>
    <w:rsid w:val="00796BDF"/>
    <w:rsid w:val="00797294"/>
    <w:rsid w:val="00797B0F"/>
    <w:rsid w:val="007A235D"/>
    <w:rsid w:val="007A3FFB"/>
    <w:rsid w:val="007A4A96"/>
    <w:rsid w:val="007D2B82"/>
    <w:rsid w:val="007F3BDF"/>
    <w:rsid w:val="007F413F"/>
    <w:rsid w:val="007F4B0D"/>
    <w:rsid w:val="007F6E9B"/>
    <w:rsid w:val="00800642"/>
    <w:rsid w:val="00805D28"/>
    <w:rsid w:val="008242A8"/>
    <w:rsid w:val="008318FF"/>
    <w:rsid w:val="0083213F"/>
    <w:rsid w:val="008342E5"/>
    <w:rsid w:val="008343D8"/>
    <w:rsid w:val="00840324"/>
    <w:rsid w:val="008425B8"/>
    <w:rsid w:val="008444E7"/>
    <w:rsid w:val="00857E51"/>
    <w:rsid w:val="008671D2"/>
    <w:rsid w:val="008729F0"/>
    <w:rsid w:val="00876B1D"/>
    <w:rsid w:val="00882F73"/>
    <w:rsid w:val="00894A89"/>
    <w:rsid w:val="008950AA"/>
    <w:rsid w:val="008A1D99"/>
    <w:rsid w:val="008A206F"/>
    <w:rsid w:val="008A22AA"/>
    <w:rsid w:val="008A28F3"/>
    <w:rsid w:val="008A4FF0"/>
    <w:rsid w:val="008B1141"/>
    <w:rsid w:val="008B48AB"/>
    <w:rsid w:val="008B510C"/>
    <w:rsid w:val="008B7D2D"/>
    <w:rsid w:val="008B7F1D"/>
    <w:rsid w:val="008C2686"/>
    <w:rsid w:val="008C38A7"/>
    <w:rsid w:val="008E0586"/>
    <w:rsid w:val="008E0B2F"/>
    <w:rsid w:val="008E4CDF"/>
    <w:rsid w:val="008E5DA1"/>
    <w:rsid w:val="008E7FC4"/>
    <w:rsid w:val="00907D4E"/>
    <w:rsid w:val="00921C88"/>
    <w:rsid w:val="00924EC1"/>
    <w:rsid w:val="00930413"/>
    <w:rsid w:val="009347C4"/>
    <w:rsid w:val="00936D44"/>
    <w:rsid w:val="00941959"/>
    <w:rsid w:val="00941C06"/>
    <w:rsid w:val="00950F55"/>
    <w:rsid w:val="0095267D"/>
    <w:rsid w:val="00955186"/>
    <w:rsid w:val="00957FE2"/>
    <w:rsid w:val="009602F9"/>
    <w:rsid w:val="009664BD"/>
    <w:rsid w:val="00975C0D"/>
    <w:rsid w:val="00976475"/>
    <w:rsid w:val="00977088"/>
    <w:rsid w:val="009770E2"/>
    <w:rsid w:val="00985D75"/>
    <w:rsid w:val="00994AE0"/>
    <w:rsid w:val="009B0DE1"/>
    <w:rsid w:val="009B6F4A"/>
    <w:rsid w:val="009D5412"/>
    <w:rsid w:val="009E09FE"/>
    <w:rsid w:val="009F710A"/>
    <w:rsid w:val="00A040A7"/>
    <w:rsid w:val="00A10703"/>
    <w:rsid w:val="00A1276D"/>
    <w:rsid w:val="00A13367"/>
    <w:rsid w:val="00A177DB"/>
    <w:rsid w:val="00A22A51"/>
    <w:rsid w:val="00A34CCF"/>
    <w:rsid w:val="00A3726A"/>
    <w:rsid w:val="00A4097B"/>
    <w:rsid w:val="00A4297A"/>
    <w:rsid w:val="00A464BA"/>
    <w:rsid w:val="00A477FE"/>
    <w:rsid w:val="00A55CB2"/>
    <w:rsid w:val="00A61B12"/>
    <w:rsid w:val="00A62E6E"/>
    <w:rsid w:val="00A8537B"/>
    <w:rsid w:val="00A877FB"/>
    <w:rsid w:val="00A961EA"/>
    <w:rsid w:val="00AA44DD"/>
    <w:rsid w:val="00AA608A"/>
    <w:rsid w:val="00AC69FA"/>
    <w:rsid w:val="00AD0184"/>
    <w:rsid w:val="00AD4CCC"/>
    <w:rsid w:val="00AE440D"/>
    <w:rsid w:val="00AE5531"/>
    <w:rsid w:val="00AE5F3A"/>
    <w:rsid w:val="00AF01D7"/>
    <w:rsid w:val="00AF79A2"/>
    <w:rsid w:val="00AF7E7F"/>
    <w:rsid w:val="00B00811"/>
    <w:rsid w:val="00B043D3"/>
    <w:rsid w:val="00B22361"/>
    <w:rsid w:val="00B245C2"/>
    <w:rsid w:val="00B25192"/>
    <w:rsid w:val="00B30DC7"/>
    <w:rsid w:val="00B52FD6"/>
    <w:rsid w:val="00B53113"/>
    <w:rsid w:val="00B66922"/>
    <w:rsid w:val="00B75020"/>
    <w:rsid w:val="00B818B3"/>
    <w:rsid w:val="00B83126"/>
    <w:rsid w:val="00B86C41"/>
    <w:rsid w:val="00B950A9"/>
    <w:rsid w:val="00BA328F"/>
    <w:rsid w:val="00BA3691"/>
    <w:rsid w:val="00BA3949"/>
    <w:rsid w:val="00BA4E3F"/>
    <w:rsid w:val="00BB4024"/>
    <w:rsid w:val="00BD38E8"/>
    <w:rsid w:val="00BD3F34"/>
    <w:rsid w:val="00BD5916"/>
    <w:rsid w:val="00BD5BE9"/>
    <w:rsid w:val="00BD65A3"/>
    <w:rsid w:val="00BF4467"/>
    <w:rsid w:val="00C01A5E"/>
    <w:rsid w:val="00C061D2"/>
    <w:rsid w:val="00C231E9"/>
    <w:rsid w:val="00C33E6F"/>
    <w:rsid w:val="00C528FB"/>
    <w:rsid w:val="00C534B4"/>
    <w:rsid w:val="00C72C77"/>
    <w:rsid w:val="00C7516A"/>
    <w:rsid w:val="00C83882"/>
    <w:rsid w:val="00C84495"/>
    <w:rsid w:val="00C85BF0"/>
    <w:rsid w:val="00C90B91"/>
    <w:rsid w:val="00C967EF"/>
    <w:rsid w:val="00C96C4D"/>
    <w:rsid w:val="00C973E2"/>
    <w:rsid w:val="00CA30DF"/>
    <w:rsid w:val="00CA38DD"/>
    <w:rsid w:val="00CB2182"/>
    <w:rsid w:val="00CB6506"/>
    <w:rsid w:val="00CC36F3"/>
    <w:rsid w:val="00CC409A"/>
    <w:rsid w:val="00CC4262"/>
    <w:rsid w:val="00CD5C20"/>
    <w:rsid w:val="00CE65AE"/>
    <w:rsid w:val="00CF028A"/>
    <w:rsid w:val="00D015F0"/>
    <w:rsid w:val="00D0482F"/>
    <w:rsid w:val="00D062E2"/>
    <w:rsid w:val="00D122C5"/>
    <w:rsid w:val="00D14EDF"/>
    <w:rsid w:val="00D160F1"/>
    <w:rsid w:val="00D307E7"/>
    <w:rsid w:val="00D34F1E"/>
    <w:rsid w:val="00D40586"/>
    <w:rsid w:val="00D411CA"/>
    <w:rsid w:val="00D606F2"/>
    <w:rsid w:val="00D64CE3"/>
    <w:rsid w:val="00D74C7D"/>
    <w:rsid w:val="00D754AC"/>
    <w:rsid w:val="00D84BC7"/>
    <w:rsid w:val="00D856E9"/>
    <w:rsid w:val="00DB0B1C"/>
    <w:rsid w:val="00DB2D9C"/>
    <w:rsid w:val="00DB3DCD"/>
    <w:rsid w:val="00DB754F"/>
    <w:rsid w:val="00DC3EC1"/>
    <w:rsid w:val="00DC563B"/>
    <w:rsid w:val="00DC69E5"/>
    <w:rsid w:val="00DD6912"/>
    <w:rsid w:val="00DE22B9"/>
    <w:rsid w:val="00DE3ED5"/>
    <w:rsid w:val="00DE6297"/>
    <w:rsid w:val="00DF122C"/>
    <w:rsid w:val="00E019A7"/>
    <w:rsid w:val="00E02F70"/>
    <w:rsid w:val="00E11CBF"/>
    <w:rsid w:val="00E12A4D"/>
    <w:rsid w:val="00E1505A"/>
    <w:rsid w:val="00E17235"/>
    <w:rsid w:val="00E172ED"/>
    <w:rsid w:val="00E23042"/>
    <w:rsid w:val="00E3141A"/>
    <w:rsid w:val="00E3375D"/>
    <w:rsid w:val="00E43B99"/>
    <w:rsid w:val="00E61D16"/>
    <w:rsid w:val="00E67BAE"/>
    <w:rsid w:val="00E67EB3"/>
    <w:rsid w:val="00E72297"/>
    <w:rsid w:val="00E77039"/>
    <w:rsid w:val="00E77AF2"/>
    <w:rsid w:val="00E905C3"/>
    <w:rsid w:val="00E936C8"/>
    <w:rsid w:val="00E94EB3"/>
    <w:rsid w:val="00E952A0"/>
    <w:rsid w:val="00E953AC"/>
    <w:rsid w:val="00E97320"/>
    <w:rsid w:val="00EA155E"/>
    <w:rsid w:val="00EA51C7"/>
    <w:rsid w:val="00EE2C3A"/>
    <w:rsid w:val="00EF24B0"/>
    <w:rsid w:val="00EF3318"/>
    <w:rsid w:val="00EF3A10"/>
    <w:rsid w:val="00EF632B"/>
    <w:rsid w:val="00F03C9D"/>
    <w:rsid w:val="00F03DBB"/>
    <w:rsid w:val="00F06559"/>
    <w:rsid w:val="00F06687"/>
    <w:rsid w:val="00F071C2"/>
    <w:rsid w:val="00F14277"/>
    <w:rsid w:val="00F23A1D"/>
    <w:rsid w:val="00F30143"/>
    <w:rsid w:val="00F37715"/>
    <w:rsid w:val="00F759D1"/>
    <w:rsid w:val="00F803B7"/>
    <w:rsid w:val="00F8674B"/>
    <w:rsid w:val="00F868D6"/>
    <w:rsid w:val="00F9530B"/>
    <w:rsid w:val="00F95FCC"/>
    <w:rsid w:val="00FA20B6"/>
    <w:rsid w:val="00FA40A2"/>
    <w:rsid w:val="00FA63B7"/>
    <w:rsid w:val="00FA77F6"/>
    <w:rsid w:val="00FB2F78"/>
    <w:rsid w:val="00FB6919"/>
    <w:rsid w:val="00FB733F"/>
    <w:rsid w:val="00FC67F9"/>
    <w:rsid w:val="00FE6EB0"/>
    <w:rsid w:val="00FF4322"/>
    <w:rsid w:val="00FF4F82"/>
    <w:rsid w:val="00FF50E9"/>
    <w:rsid w:val="00FF6C21"/>
    <w:rsid w:val="00FF6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02E7C3"/>
  <w15:docId w15:val="{32216AA0-FA08-42AA-A5C6-D317CBCE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C41"/>
    <w:rPr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B6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921C8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21C88"/>
  </w:style>
  <w:style w:type="paragraph" w:styleId="Mapadeldocumento">
    <w:name w:val="Document Map"/>
    <w:basedOn w:val="Normal"/>
    <w:link w:val="MapadeldocumentoCar"/>
    <w:rsid w:val="00F071C2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F071C2"/>
    <w:rPr>
      <w:rFonts w:ascii="Tahoma" w:hAnsi="Tahoma" w:cs="Tahoma"/>
      <w:sz w:val="16"/>
      <w:szCs w:val="16"/>
      <w:lang w:val="es-ES" w:eastAsia="en-US"/>
    </w:rPr>
  </w:style>
  <w:style w:type="character" w:styleId="Refdecomentario">
    <w:name w:val="annotation reference"/>
    <w:basedOn w:val="Fuentedeprrafopredeter"/>
    <w:rsid w:val="005E669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E669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E6691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E66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E6691"/>
    <w:rPr>
      <w:b/>
      <w:bCs/>
      <w:lang w:val="es-ES" w:eastAsia="en-US"/>
    </w:rPr>
  </w:style>
  <w:style w:type="paragraph" w:styleId="Textodeglobo">
    <w:name w:val="Balloon Text"/>
    <w:basedOn w:val="Normal"/>
    <w:link w:val="TextodegloboCar"/>
    <w:rsid w:val="005E6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E6691"/>
    <w:rPr>
      <w:rFonts w:ascii="Tahoma" w:hAnsi="Tahoma" w:cs="Tahoma"/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2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8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6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6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Gob 4T">
      <a:dk1>
        <a:sysClr val="windowText" lastClr="000000"/>
      </a:dk1>
      <a:lt1>
        <a:sysClr val="window" lastClr="FFFFFF"/>
      </a:lt1>
      <a:dk2>
        <a:srgbClr val="621132"/>
      </a:dk2>
      <a:lt2>
        <a:srgbClr val="D4C19C"/>
      </a:lt2>
      <a:accent1>
        <a:srgbClr val="285C4D"/>
      </a:accent1>
      <a:accent2>
        <a:srgbClr val="9D2449"/>
      </a:accent2>
      <a:accent3>
        <a:srgbClr val="13322B"/>
      </a:accent3>
      <a:accent4>
        <a:srgbClr val="4E232E"/>
      </a:accent4>
      <a:accent5>
        <a:srgbClr val="D4C19C"/>
      </a:accent5>
      <a:accent6>
        <a:srgbClr val="56242A"/>
      </a:accent6>
      <a:hlink>
        <a:srgbClr val="997200"/>
      </a:hlink>
      <a:folHlink>
        <a:srgbClr val="0033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D7AB2-9C84-4959-94CD-1933AC39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1163</Words>
  <Characters>6402</Characters>
  <Application>Microsoft Office Word</Application>
  <DocSecurity>0</DocSecurity>
  <Lines>53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Metodología</vt:lpstr>
      <vt:lpstr>Metodología</vt:lpstr>
    </vt:vector>
  </TitlesOfParts>
  <Company>SALUD</Company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Metodología</dc:title>
  <dc:creator>LSOLANO</dc:creator>
  <cp:lastModifiedBy>Carlos Lino Sosa Manzano</cp:lastModifiedBy>
  <cp:revision>18</cp:revision>
  <cp:lastPrinted>2013-09-23T19:29:00Z</cp:lastPrinted>
  <dcterms:created xsi:type="dcterms:W3CDTF">2019-03-20T22:34:00Z</dcterms:created>
  <dcterms:modified xsi:type="dcterms:W3CDTF">2020-05-25T18:07:00Z</dcterms:modified>
</cp:coreProperties>
</file>