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tblpXSpec="center" w:tblpY="600"/>
        <w:tblW w:w="9763" w:type="dxa"/>
        <w:tblLook w:val="01E0" w:firstRow="1" w:lastRow="1" w:firstColumn="1" w:lastColumn="1" w:noHBand="0" w:noVBand="0"/>
      </w:tblPr>
      <w:tblGrid>
        <w:gridCol w:w="2531"/>
        <w:gridCol w:w="1966"/>
        <w:gridCol w:w="5266"/>
      </w:tblGrid>
      <w:tr w:rsidR="00016BB7" w:rsidRPr="00517B31" w:rsidTr="00050DEB">
        <w:trPr>
          <w:trHeight w:val="567"/>
        </w:trPr>
        <w:tc>
          <w:tcPr>
            <w:tcW w:w="9763" w:type="dxa"/>
            <w:gridSpan w:val="3"/>
            <w:tcBorders>
              <w:top w:val="single" w:sz="24" w:space="0" w:color="95979A"/>
              <w:left w:val="single" w:sz="24" w:space="0" w:color="95979A"/>
              <w:bottom w:val="single" w:sz="4" w:space="0" w:color="6D6E70"/>
              <w:right w:val="single" w:sz="24" w:space="0" w:color="6D6E70"/>
            </w:tcBorders>
            <w:shd w:val="clear" w:color="auto" w:fill="215A35"/>
            <w:vAlign w:val="center"/>
          </w:tcPr>
          <w:p w:rsidR="00016BB7" w:rsidRPr="007704B9" w:rsidRDefault="00016BB7" w:rsidP="00514827">
            <w:pPr>
              <w:pStyle w:val="TableParagraph"/>
              <w:spacing w:before="60" w:after="60"/>
              <w:jc w:val="center"/>
              <w:rPr>
                <w:rFonts w:ascii="Soberana Sans" w:eastAsia="Lucida Sans" w:hAnsi="Soberana Sans" w:cs="Lucida Sans"/>
                <w:sz w:val="24"/>
                <w:szCs w:val="24"/>
                <w:lang w:val="es-MX"/>
              </w:rPr>
            </w:pPr>
            <w:r w:rsidRPr="007704B9">
              <w:rPr>
                <w:rFonts w:ascii="Soberana Sans" w:hAnsi="Soberana Sans"/>
                <w:b/>
                <w:color w:val="FFFFFF" w:themeColor="background1"/>
                <w:sz w:val="20"/>
                <w:lang w:val="es-MX"/>
              </w:rPr>
              <w:t>FICHA DE INDICADOR</w:t>
            </w:r>
          </w:p>
        </w:tc>
      </w:tr>
      <w:tr w:rsidR="00016BB7" w:rsidRPr="00517B31" w:rsidTr="00050DEB">
        <w:trPr>
          <w:trHeight w:val="397"/>
        </w:trPr>
        <w:tc>
          <w:tcPr>
            <w:tcW w:w="2531" w:type="dxa"/>
            <w:tcBorders>
              <w:top w:val="single" w:sz="4" w:space="0" w:color="6D6E70"/>
              <w:left w:val="single" w:sz="24" w:space="0" w:color="95979A"/>
              <w:bottom w:val="single" w:sz="4" w:space="0" w:color="6D6E70"/>
              <w:right w:val="single" w:sz="4" w:space="0" w:color="6D6E70"/>
            </w:tcBorders>
            <w:shd w:val="clear" w:color="auto" w:fill="BCBEC0"/>
            <w:vAlign w:val="center"/>
          </w:tcPr>
          <w:p w:rsidR="00016BB7" w:rsidRPr="0074252F" w:rsidRDefault="00016BB7" w:rsidP="00514827">
            <w:pPr>
              <w:pStyle w:val="TableParagraph"/>
              <w:spacing w:before="60" w:after="60"/>
              <w:ind w:left="519"/>
              <w:rPr>
                <w:rFonts w:ascii="Soberana Sans" w:eastAsia="Lucida Sans" w:hAnsi="Soberana Sans" w:cs="Lucida Sans"/>
                <w:sz w:val="20"/>
                <w:szCs w:val="20"/>
                <w:lang w:val="es-MX"/>
              </w:rPr>
            </w:pPr>
            <w:r w:rsidRPr="0074252F">
              <w:rPr>
                <w:rFonts w:ascii="Soberana Sans" w:hAnsi="Soberana Sans"/>
                <w:b/>
                <w:sz w:val="20"/>
                <w:lang w:val="es-MX"/>
              </w:rPr>
              <w:t>Elemento</w:t>
            </w:r>
          </w:p>
        </w:tc>
        <w:tc>
          <w:tcPr>
            <w:tcW w:w="723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24" w:space="0" w:color="95979A"/>
            </w:tcBorders>
            <w:shd w:val="clear" w:color="auto" w:fill="BCBEC0"/>
            <w:vAlign w:val="center"/>
          </w:tcPr>
          <w:p w:rsidR="00016BB7" w:rsidRPr="0074252F" w:rsidRDefault="00016BB7" w:rsidP="00514827">
            <w:pPr>
              <w:pStyle w:val="TableParagraph"/>
              <w:spacing w:before="60" w:after="60"/>
              <w:ind w:left="144"/>
              <w:jc w:val="center"/>
              <w:rPr>
                <w:rFonts w:ascii="Soberana Sans" w:eastAsia="Lucida Sans" w:hAnsi="Soberana Sans" w:cs="Lucida Sans"/>
                <w:sz w:val="20"/>
                <w:szCs w:val="20"/>
                <w:lang w:val="es-MX"/>
              </w:rPr>
            </w:pPr>
            <w:r w:rsidRPr="0074252F">
              <w:rPr>
                <w:rFonts w:ascii="Soberana Sans" w:hAnsi="Soberana Sans"/>
                <w:b/>
                <w:sz w:val="20"/>
                <w:lang w:val="es-MX"/>
              </w:rPr>
              <w:t>Características</w:t>
            </w:r>
          </w:p>
        </w:tc>
      </w:tr>
      <w:tr w:rsidR="00A73F8D" w:rsidRPr="000E6C54" w:rsidTr="006D1058">
        <w:trPr>
          <w:trHeight w:val="476"/>
        </w:trPr>
        <w:tc>
          <w:tcPr>
            <w:tcW w:w="2531" w:type="dxa"/>
            <w:tcBorders>
              <w:top w:val="single" w:sz="4" w:space="0" w:color="6D6E70"/>
              <w:left w:val="single" w:sz="24" w:space="0" w:color="95979A"/>
              <w:bottom w:val="single" w:sz="4" w:space="0" w:color="6D6E70"/>
              <w:right w:val="single" w:sz="4" w:space="0" w:color="6D6E70"/>
            </w:tcBorders>
            <w:vAlign w:val="center"/>
          </w:tcPr>
          <w:p w:rsidR="00A73F8D" w:rsidRPr="0074252F" w:rsidRDefault="00A73F8D" w:rsidP="006D1058">
            <w:pPr>
              <w:pStyle w:val="TableParagraph"/>
              <w:spacing w:before="60" w:after="60"/>
              <w:ind w:left="260"/>
              <w:rPr>
                <w:rFonts w:ascii="Soberana Sans" w:eastAsia="Lucida Sans" w:hAnsi="Soberana Sans" w:cs="Lucida Sans"/>
                <w:sz w:val="20"/>
                <w:szCs w:val="18"/>
                <w:lang w:val="es-MX"/>
              </w:rPr>
            </w:pPr>
            <w:r w:rsidRPr="0074252F">
              <w:rPr>
                <w:rFonts w:ascii="Soberana Sans" w:hAnsi="Soberana Sans"/>
                <w:b/>
                <w:sz w:val="20"/>
                <w:lang w:val="es-MX"/>
              </w:rPr>
              <w:t>Indicador</w:t>
            </w:r>
          </w:p>
        </w:tc>
        <w:tc>
          <w:tcPr>
            <w:tcW w:w="723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24" w:space="0" w:color="95979A"/>
            </w:tcBorders>
            <w:vAlign w:val="center"/>
          </w:tcPr>
          <w:p w:rsidR="00A73F8D" w:rsidRPr="000E6C54" w:rsidRDefault="000B2F13" w:rsidP="006D1058">
            <w:pPr>
              <w:pStyle w:val="TableParagraph"/>
              <w:spacing w:before="60" w:after="60"/>
              <w:ind w:left="164" w:right="138"/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</w:pPr>
            <w:r w:rsidRPr="000B2F13"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  <w:t>Porcentaje de población con aseguramiento público en salud que usa servicios públicos de atención médica.</w:t>
            </w:r>
          </w:p>
        </w:tc>
      </w:tr>
      <w:tr w:rsidR="00A73F8D" w:rsidRPr="000E6C54" w:rsidTr="003B5DE9">
        <w:tc>
          <w:tcPr>
            <w:tcW w:w="2531" w:type="dxa"/>
            <w:tcBorders>
              <w:top w:val="single" w:sz="4" w:space="0" w:color="6D6E70"/>
              <w:left w:val="single" w:sz="24" w:space="0" w:color="95979A"/>
              <w:bottom w:val="single" w:sz="4" w:space="0" w:color="6D6E70"/>
              <w:right w:val="single" w:sz="4" w:space="0" w:color="6D6E70"/>
            </w:tcBorders>
            <w:vAlign w:val="center"/>
          </w:tcPr>
          <w:p w:rsidR="00A73F8D" w:rsidRPr="0074252F" w:rsidRDefault="00A73F8D" w:rsidP="00514827">
            <w:pPr>
              <w:pStyle w:val="TableParagraph"/>
              <w:spacing w:before="60" w:after="60"/>
              <w:ind w:left="260" w:right="840"/>
              <w:rPr>
                <w:rFonts w:ascii="Soberana Sans" w:eastAsia="Lucida Sans" w:hAnsi="Soberana Sans" w:cs="Lucida Sans"/>
                <w:sz w:val="20"/>
                <w:szCs w:val="18"/>
                <w:lang w:val="es-MX"/>
              </w:rPr>
            </w:pPr>
            <w:r w:rsidRPr="0074252F">
              <w:rPr>
                <w:rFonts w:ascii="Soberana Sans" w:hAnsi="Soberana Sans"/>
                <w:b/>
                <w:sz w:val="20"/>
                <w:lang w:val="es-MX"/>
              </w:rPr>
              <w:t>Objetivo sectorial</w:t>
            </w:r>
          </w:p>
        </w:tc>
        <w:tc>
          <w:tcPr>
            <w:tcW w:w="723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24" w:space="0" w:color="95979A"/>
            </w:tcBorders>
            <w:vAlign w:val="center"/>
          </w:tcPr>
          <w:p w:rsidR="00A73F8D" w:rsidRPr="0042249E" w:rsidRDefault="000B2F13" w:rsidP="003B5DE9">
            <w:pPr>
              <w:pStyle w:val="TableParagraph"/>
              <w:spacing w:before="60" w:after="60"/>
              <w:ind w:left="164" w:right="138"/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</w:pPr>
            <w:r w:rsidRPr="000B2F13"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  <w:t>Avanzar en la construcción de un Sistema Nacional de Salud Universal bajo la rectoría de la Secretaría de Salud.</w:t>
            </w:r>
          </w:p>
        </w:tc>
      </w:tr>
      <w:tr w:rsidR="00A73F8D" w:rsidRPr="000E6C54" w:rsidTr="00513702">
        <w:tc>
          <w:tcPr>
            <w:tcW w:w="2531" w:type="dxa"/>
            <w:tcBorders>
              <w:top w:val="single" w:sz="4" w:space="0" w:color="6D6E70"/>
              <w:left w:val="single" w:sz="24" w:space="0" w:color="95979A"/>
              <w:bottom w:val="single" w:sz="4" w:space="0" w:color="6D6E70"/>
              <w:right w:val="single" w:sz="4" w:space="0" w:color="6D6E70"/>
            </w:tcBorders>
            <w:vAlign w:val="center"/>
          </w:tcPr>
          <w:p w:rsidR="00A73F8D" w:rsidRPr="0074252F" w:rsidRDefault="00A73F8D" w:rsidP="00514827">
            <w:pPr>
              <w:pStyle w:val="TableParagraph"/>
              <w:spacing w:before="60" w:after="60"/>
              <w:ind w:left="260" w:right="576"/>
              <w:rPr>
                <w:rFonts w:ascii="Soberana Sans" w:eastAsia="Lucida Sans" w:hAnsi="Soberana Sans" w:cs="Lucida Sans"/>
                <w:sz w:val="20"/>
                <w:szCs w:val="18"/>
                <w:lang w:val="es-MX"/>
              </w:rPr>
            </w:pPr>
            <w:r w:rsidRPr="0074252F">
              <w:rPr>
                <w:rFonts w:ascii="Soberana Sans" w:hAnsi="Soberana Sans"/>
                <w:b/>
                <w:sz w:val="20"/>
                <w:lang w:val="es-MX"/>
              </w:rPr>
              <w:t>Descripción general</w:t>
            </w:r>
          </w:p>
        </w:tc>
        <w:tc>
          <w:tcPr>
            <w:tcW w:w="723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24" w:space="0" w:color="95979A"/>
            </w:tcBorders>
          </w:tcPr>
          <w:p w:rsidR="00A73F8D" w:rsidRPr="000E6C54" w:rsidRDefault="000B2F13" w:rsidP="00A73F8D">
            <w:pPr>
              <w:pStyle w:val="TableParagraph"/>
              <w:spacing w:before="60" w:after="60"/>
              <w:ind w:left="164" w:right="137"/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</w:pPr>
            <w:r w:rsidRPr="000B2F13"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  <w:t>Este indicador es uno de los componentes de la medición de acceso a la atención médica proporcionada por el sector público bajo el marco del Sistema Nacional de Salud Universal.</w:t>
            </w:r>
          </w:p>
        </w:tc>
      </w:tr>
      <w:tr w:rsidR="00A73F8D" w:rsidRPr="000E6C54" w:rsidTr="00513702">
        <w:tc>
          <w:tcPr>
            <w:tcW w:w="2531" w:type="dxa"/>
            <w:tcBorders>
              <w:top w:val="single" w:sz="4" w:space="0" w:color="6D6E70"/>
              <w:left w:val="single" w:sz="24" w:space="0" w:color="95979A"/>
              <w:bottom w:val="single" w:sz="4" w:space="0" w:color="6D6E70"/>
              <w:right w:val="single" w:sz="4" w:space="0" w:color="6D6E70"/>
            </w:tcBorders>
            <w:vAlign w:val="center"/>
          </w:tcPr>
          <w:p w:rsidR="00A73F8D" w:rsidRPr="0074252F" w:rsidRDefault="00A73F8D" w:rsidP="00514827">
            <w:pPr>
              <w:pStyle w:val="TableParagraph"/>
              <w:spacing w:before="60" w:after="60"/>
              <w:ind w:left="260"/>
              <w:rPr>
                <w:rFonts w:ascii="Soberana Sans" w:eastAsia="Lucida Sans" w:hAnsi="Soberana Sans" w:cs="Lucida Sans"/>
                <w:sz w:val="20"/>
                <w:szCs w:val="18"/>
                <w:lang w:val="es-MX"/>
              </w:rPr>
            </w:pPr>
            <w:r w:rsidRPr="0074252F">
              <w:rPr>
                <w:rFonts w:ascii="Soberana Sans" w:hAnsi="Soberana Sans"/>
                <w:b/>
                <w:sz w:val="20"/>
                <w:lang w:val="es-MX"/>
              </w:rPr>
              <w:t>Observaciones</w:t>
            </w:r>
          </w:p>
        </w:tc>
        <w:tc>
          <w:tcPr>
            <w:tcW w:w="723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24" w:space="0" w:color="95979A"/>
            </w:tcBorders>
          </w:tcPr>
          <w:p w:rsidR="00A73F8D" w:rsidRPr="000E6C54" w:rsidRDefault="000B2F13" w:rsidP="00137E13">
            <w:pPr>
              <w:pStyle w:val="TableParagraph"/>
              <w:spacing w:before="60" w:after="60"/>
              <w:ind w:left="164"/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</w:pPr>
            <w:r w:rsidRPr="000B2F13"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  <w:t>Resulta de restar al 100% de la población la suma del porcentaje de población sin aseguramiento público y el porcentaje de población que teniendo aseguramiento público de salud utiliza servicios privados de atención médica.</w:t>
            </w:r>
          </w:p>
        </w:tc>
      </w:tr>
      <w:tr w:rsidR="00A73F8D" w:rsidRPr="000E6C54" w:rsidTr="00513702">
        <w:tc>
          <w:tcPr>
            <w:tcW w:w="2531" w:type="dxa"/>
            <w:tcBorders>
              <w:top w:val="single" w:sz="4" w:space="0" w:color="6D6E70"/>
              <w:left w:val="single" w:sz="24" w:space="0" w:color="95979A"/>
              <w:bottom w:val="single" w:sz="4" w:space="0" w:color="6D6E70"/>
              <w:right w:val="single" w:sz="4" w:space="0" w:color="6D6E70"/>
            </w:tcBorders>
            <w:vAlign w:val="center"/>
          </w:tcPr>
          <w:p w:rsidR="00A73F8D" w:rsidRPr="0074252F" w:rsidRDefault="00A73F8D" w:rsidP="00514827">
            <w:pPr>
              <w:pStyle w:val="TableParagraph"/>
              <w:spacing w:before="60" w:after="60"/>
              <w:ind w:left="260"/>
              <w:rPr>
                <w:rFonts w:ascii="Soberana Sans" w:eastAsia="Lucida Sans" w:hAnsi="Soberana Sans" w:cs="Lucida Sans"/>
                <w:sz w:val="20"/>
                <w:szCs w:val="18"/>
                <w:lang w:val="es-MX"/>
              </w:rPr>
            </w:pPr>
            <w:r w:rsidRPr="0074252F">
              <w:rPr>
                <w:rFonts w:ascii="Soberana Sans" w:hAnsi="Soberana Sans"/>
                <w:b/>
                <w:sz w:val="20"/>
                <w:lang w:val="es-MX"/>
              </w:rPr>
              <w:t>Periodicidad</w:t>
            </w:r>
          </w:p>
        </w:tc>
        <w:tc>
          <w:tcPr>
            <w:tcW w:w="723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24" w:space="0" w:color="95979A"/>
            </w:tcBorders>
          </w:tcPr>
          <w:p w:rsidR="00A73F8D" w:rsidRPr="000E6C54" w:rsidRDefault="00C3277E" w:rsidP="00697B3E">
            <w:pPr>
              <w:pStyle w:val="TableParagraph"/>
              <w:spacing w:before="60" w:after="60"/>
              <w:ind w:left="164"/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</w:pPr>
            <w:proofErr w:type="spellStart"/>
            <w:r w:rsidRPr="00C3277E">
              <w:rPr>
                <w:rFonts w:ascii="Soberana Sans Light" w:hAnsi="Soberana Sans Light"/>
                <w:sz w:val="20"/>
                <w:szCs w:val="20"/>
              </w:rPr>
              <w:t>Bienal</w:t>
            </w:r>
            <w:proofErr w:type="spellEnd"/>
            <w:r w:rsidRPr="00C3277E">
              <w:rPr>
                <w:rFonts w:ascii="Soberana Sans Light" w:hAnsi="Soberana Sans Light"/>
                <w:sz w:val="20"/>
                <w:szCs w:val="20"/>
              </w:rPr>
              <w:t>.</w:t>
            </w:r>
          </w:p>
        </w:tc>
      </w:tr>
      <w:tr w:rsidR="00A73F8D" w:rsidRPr="000E6C54" w:rsidTr="00513702">
        <w:tc>
          <w:tcPr>
            <w:tcW w:w="2531" w:type="dxa"/>
            <w:tcBorders>
              <w:top w:val="single" w:sz="4" w:space="0" w:color="6D6E70"/>
              <w:left w:val="single" w:sz="24" w:space="0" w:color="95979A"/>
              <w:bottom w:val="single" w:sz="4" w:space="0" w:color="6D6E70"/>
              <w:right w:val="single" w:sz="4" w:space="0" w:color="6D6E70"/>
            </w:tcBorders>
            <w:vAlign w:val="center"/>
          </w:tcPr>
          <w:p w:rsidR="00A73F8D" w:rsidRPr="0074252F" w:rsidRDefault="00A73F8D" w:rsidP="00514827">
            <w:pPr>
              <w:pStyle w:val="TableParagraph"/>
              <w:spacing w:before="60" w:after="60"/>
              <w:ind w:left="260"/>
              <w:rPr>
                <w:rFonts w:ascii="Soberana Sans" w:eastAsia="Lucida Sans" w:hAnsi="Soberana Sans" w:cs="Lucida Sans"/>
                <w:sz w:val="20"/>
                <w:szCs w:val="18"/>
                <w:lang w:val="es-MX"/>
              </w:rPr>
            </w:pPr>
            <w:r w:rsidRPr="0074252F">
              <w:rPr>
                <w:rFonts w:ascii="Soberana Sans" w:hAnsi="Soberana Sans"/>
                <w:b/>
                <w:sz w:val="20"/>
                <w:lang w:val="es-MX"/>
              </w:rPr>
              <w:t>Fuente</w:t>
            </w:r>
          </w:p>
        </w:tc>
        <w:tc>
          <w:tcPr>
            <w:tcW w:w="723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24" w:space="0" w:color="95979A"/>
            </w:tcBorders>
          </w:tcPr>
          <w:p w:rsidR="000B2F13" w:rsidRPr="000B2F13" w:rsidRDefault="00F97E4E" w:rsidP="000B2F13">
            <w:pPr>
              <w:pStyle w:val="TableParagraph"/>
              <w:spacing w:before="60" w:after="60"/>
              <w:ind w:left="164" w:right="550"/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</w:pPr>
            <w:r w:rsidRPr="00F97E4E"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  <w:t xml:space="preserve">Numerador y denominador: </w:t>
            </w:r>
            <w:r w:rsidR="000B2F13" w:rsidRPr="000B2F13"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  <w:t>Módulo de Condiciones Socioeconómicas asociado a la Encuesta Nacional de Ingresos y Gastos de los Hogares:</w:t>
            </w:r>
          </w:p>
          <w:p w:rsidR="000B2F13" w:rsidRPr="000B2F13" w:rsidRDefault="000B2F13" w:rsidP="000B2F13">
            <w:pPr>
              <w:pStyle w:val="TableParagraph"/>
              <w:spacing w:before="60" w:after="60"/>
              <w:ind w:left="164" w:right="550"/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</w:pPr>
            <w:r w:rsidRPr="000B2F13"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  <w:t>http://www.inegi.org.mx/est/contenidos/Proyectos/Encuestas/ Hogares/regulares/</w:t>
            </w:r>
            <w:proofErr w:type="spellStart"/>
            <w:r w:rsidRPr="000B2F13"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  <w:t>Enigh</w:t>
            </w:r>
            <w:proofErr w:type="spellEnd"/>
            <w:r w:rsidRPr="000B2F13"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  <w:t>/</w:t>
            </w:r>
          </w:p>
          <w:p w:rsidR="000B2F13" w:rsidRPr="000B2F13" w:rsidRDefault="000B2F13" w:rsidP="000B2F13">
            <w:pPr>
              <w:pStyle w:val="TableParagraph"/>
              <w:spacing w:before="60" w:after="60"/>
              <w:ind w:left="164" w:right="550"/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</w:pPr>
            <w:r w:rsidRPr="000B2F13"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  <w:t>Metodología del CONEVAL para el cálculo del porcentaje de población sin aseguramiento público:</w:t>
            </w:r>
          </w:p>
          <w:p w:rsidR="006802BF" w:rsidRPr="000E6C54" w:rsidRDefault="000B2F13" w:rsidP="000B2F13">
            <w:pPr>
              <w:pStyle w:val="TableParagraph"/>
              <w:spacing w:before="60" w:after="60"/>
              <w:ind w:left="164" w:right="550"/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</w:pPr>
            <w:r w:rsidRPr="000B2F13">
              <w:rPr>
                <w:rFonts w:ascii="Soberana Sans Light" w:eastAsia="Verdana" w:hAnsi="Soberana Sans Light" w:cs="Verdana"/>
                <w:sz w:val="20"/>
                <w:szCs w:val="20"/>
                <w:lang w:val="es-MX"/>
              </w:rPr>
              <w:t>http://www.coneval.gob.mx/Medicion/Paginas/Medici%C3%B3n/ Pobreza%202012/Programas_y_BD_2010_y_2012.aspx</w:t>
            </w:r>
          </w:p>
        </w:tc>
      </w:tr>
      <w:tr w:rsidR="00A73F8D" w:rsidRPr="000E6C54" w:rsidTr="00513702">
        <w:tc>
          <w:tcPr>
            <w:tcW w:w="2531" w:type="dxa"/>
            <w:tcBorders>
              <w:top w:val="single" w:sz="4" w:space="0" w:color="6D6E70"/>
              <w:left w:val="single" w:sz="24" w:space="0" w:color="95979A"/>
              <w:bottom w:val="single" w:sz="4" w:space="0" w:color="6D6E70"/>
              <w:right w:val="single" w:sz="4" w:space="0" w:color="6D6E70"/>
            </w:tcBorders>
            <w:vAlign w:val="center"/>
          </w:tcPr>
          <w:p w:rsidR="00A73F8D" w:rsidRPr="0074252F" w:rsidRDefault="00A73F8D" w:rsidP="00514827">
            <w:pPr>
              <w:pStyle w:val="TableParagraph"/>
              <w:spacing w:before="60" w:after="60"/>
              <w:ind w:left="260" w:right="578"/>
              <w:rPr>
                <w:rFonts w:ascii="Soberana Sans" w:eastAsia="Lucida Sans" w:hAnsi="Soberana Sans" w:cs="Lucida Sans"/>
                <w:sz w:val="20"/>
                <w:szCs w:val="18"/>
                <w:lang w:val="es-MX"/>
              </w:rPr>
            </w:pPr>
            <w:r w:rsidRPr="0074252F">
              <w:rPr>
                <w:rFonts w:ascii="Soberana Sans" w:hAnsi="Soberana Sans"/>
                <w:b/>
                <w:sz w:val="20"/>
                <w:lang w:val="es-MX"/>
              </w:rPr>
              <w:t>Referencias adicionales</w:t>
            </w:r>
          </w:p>
        </w:tc>
        <w:tc>
          <w:tcPr>
            <w:tcW w:w="723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24" w:space="0" w:color="95979A"/>
            </w:tcBorders>
          </w:tcPr>
          <w:p w:rsidR="000B2F13" w:rsidRPr="000B2F13" w:rsidRDefault="000B2F13" w:rsidP="000B2F13">
            <w:pPr>
              <w:pStyle w:val="TableParagraph"/>
              <w:spacing w:before="60" w:after="60"/>
              <w:ind w:left="164"/>
              <w:rPr>
                <w:rFonts w:ascii="Soberana Sans Light" w:hAnsi="Soberana Sans Light"/>
                <w:sz w:val="20"/>
                <w:szCs w:val="20"/>
                <w:lang w:val="es-MX"/>
              </w:rPr>
            </w:pPr>
            <w:r w:rsidRPr="000B2F13">
              <w:rPr>
                <w:rFonts w:ascii="Soberana Sans Light" w:hAnsi="Soberana Sans Light"/>
                <w:sz w:val="20"/>
                <w:szCs w:val="20"/>
                <w:lang w:val="es-MX"/>
              </w:rPr>
              <w:t>Rectoría: Secretaría de Salud.</w:t>
            </w:r>
          </w:p>
          <w:p w:rsidR="000B2F13" w:rsidRDefault="000B2F13" w:rsidP="000B2F13">
            <w:pPr>
              <w:pStyle w:val="TableParagraph"/>
              <w:ind w:left="164"/>
              <w:rPr>
                <w:rFonts w:ascii="Soberana Sans Light" w:hAnsi="Soberana Sans Light"/>
                <w:sz w:val="20"/>
                <w:szCs w:val="20"/>
                <w:lang w:val="es-MX"/>
              </w:rPr>
            </w:pPr>
            <w:r w:rsidRPr="000B2F13">
              <w:rPr>
                <w:rFonts w:ascii="Soberana Sans Light" w:hAnsi="Soberana Sans Light"/>
                <w:sz w:val="20"/>
                <w:szCs w:val="20"/>
                <w:lang w:val="es-MX"/>
              </w:rPr>
              <w:t xml:space="preserve">Estimación: Dirección General de Evaluación del Desempeño y </w:t>
            </w:r>
          </w:p>
          <w:p w:rsidR="000B2F13" w:rsidRPr="000B2F13" w:rsidRDefault="000B2F13" w:rsidP="000B2F13">
            <w:pPr>
              <w:pStyle w:val="TableParagraph"/>
              <w:ind w:left="164"/>
              <w:rPr>
                <w:rFonts w:ascii="Soberana Sans Light" w:hAnsi="Soberana Sans Light"/>
                <w:sz w:val="20"/>
                <w:szCs w:val="20"/>
                <w:lang w:val="es-MX"/>
              </w:rPr>
            </w:pPr>
            <w:r w:rsidRPr="000B2F13">
              <w:rPr>
                <w:rFonts w:ascii="Soberana Sans Light" w:hAnsi="Soberana Sans Light"/>
                <w:sz w:val="20"/>
                <w:szCs w:val="20"/>
                <w:lang w:val="es-MX"/>
              </w:rPr>
              <w:t>Dirección General de Información en Salud.</w:t>
            </w:r>
          </w:p>
          <w:p w:rsidR="00A73F8D" w:rsidRPr="000E6C54" w:rsidRDefault="000B2F13" w:rsidP="000B2F13">
            <w:pPr>
              <w:pStyle w:val="TableParagraph"/>
              <w:spacing w:before="60" w:after="60"/>
              <w:ind w:left="164"/>
              <w:rPr>
                <w:rFonts w:ascii="Soberana Sans Light" w:hAnsi="Soberana Sans Light"/>
                <w:sz w:val="20"/>
                <w:szCs w:val="20"/>
                <w:lang w:val="es-MX"/>
              </w:rPr>
            </w:pPr>
            <w:r w:rsidRPr="000B2F13">
              <w:rPr>
                <w:rFonts w:ascii="Soberana Sans Light" w:hAnsi="Soberana Sans Light"/>
                <w:sz w:val="20"/>
                <w:szCs w:val="20"/>
                <w:lang w:val="es-MX"/>
              </w:rPr>
              <w:t>Monitoreo: Dirección General de Evaluación del Desempeño.</w:t>
            </w:r>
          </w:p>
        </w:tc>
      </w:tr>
      <w:tr w:rsidR="00A73F8D" w:rsidRPr="00517B31" w:rsidTr="00050DEB">
        <w:tc>
          <w:tcPr>
            <w:tcW w:w="4497" w:type="dxa"/>
            <w:gridSpan w:val="2"/>
            <w:tcBorders>
              <w:top w:val="single" w:sz="4" w:space="0" w:color="6D6E70"/>
              <w:left w:val="single" w:sz="24" w:space="0" w:color="95979A"/>
              <w:bottom w:val="single" w:sz="4" w:space="0" w:color="6D6E70"/>
              <w:right w:val="single" w:sz="4" w:space="0" w:color="6D6E70"/>
            </w:tcBorders>
            <w:vAlign w:val="center"/>
          </w:tcPr>
          <w:p w:rsidR="00A73F8D" w:rsidRPr="0074252F" w:rsidRDefault="00A73F8D" w:rsidP="00514827">
            <w:pPr>
              <w:pStyle w:val="TableParagraph"/>
              <w:spacing w:before="60" w:after="60"/>
              <w:ind w:left="95"/>
              <w:jc w:val="center"/>
              <w:rPr>
                <w:rFonts w:ascii="Soberana Sans" w:eastAsia="Lucida Sans" w:hAnsi="Soberana Sans" w:cs="Lucida Sans"/>
                <w:sz w:val="20"/>
                <w:szCs w:val="18"/>
                <w:lang w:val="es-MX"/>
              </w:rPr>
            </w:pPr>
            <w:r w:rsidRPr="0074252F">
              <w:rPr>
                <w:rFonts w:ascii="Soberana Sans" w:hAnsi="Soberana Sans"/>
                <w:b/>
                <w:sz w:val="20"/>
                <w:lang w:val="es-MX"/>
              </w:rPr>
              <w:t>Línea base</w:t>
            </w:r>
          </w:p>
        </w:tc>
        <w:tc>
          <w:tcPr>
            <w:tcW w:w="5266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24" w:space="0" w:color="95979A"/>
            </w:tcBorders>
            <w:vAlign w:val="center"/>
          </w:tcPr>
          <w:p w:rsidR="00A73F8D" w:rsidRPr="0074252F" w:rsidRDefault="00A73F8D" w:rsidP="00514827">
            <w:pPr>
              <w:pStyle w:val="TableParagraph"/>
              <w:spacing w:before="60" w:after="60"/>
              <w:ind w:left="145"/>
              <w:jc w:val="center"/>
              <w:rPr>
                <w:rFonts w:ascii="Soberana Sans" w:eastAsia="Lucida Sans" w:hAnsi="Soberana Sans" w:cs="Lucida Sans"/>
                <w:sz w:val="20"/>
                <w:szCs w:val="18"/>
                <w:lang w:val="es-MX"/>
              </w:rPr>
            </w:pPr>
            <w:r w:rsidRPr="0074252F">
              <w:rPr>
                <w:rFonts w:ascii="Soberana Sans" w:hAnsi="Soberana Sans"/>
                <w:b/>
                <w:sz w:val="20"/>
                <w:lang w:val="es-MX"/>
              </w:rPr>
              <w:t>Meta 2018</w:t>
            </w:r>
          </w:p>
        </w:tc>
      </w:tr>
      <w:tr w:rsidR="00A73F8D" w:rsidRPr="00517B31" w:rsidTr="00934AEB">
        <w:tc>
          <w:tcPr>
            <w:tcW w:w="4497" w:type="dxa"/>
            <w:gridSpan w:val="2"/>
            <w:tcBorders>
              <w:top w:val="single" w:sz="4" w:space="0" w:color="6D6E70"/>
              <w:left w:val="single" w:sz="24" w:space="0" w:color="95979A"/>
              <w:bottom w:val="single" w:sz="24" w:space="0" w:color="95979A"/>
              <w:right w:val="single" w:sz="4" w:space="0" w:color="6D6E70"/>
            </w:tcBorders>
            <w:shd w:val="clear" w:color="auto" w:fill="auto"/>
            <w:vAlign w:val="center"/>
          </w:tcPr>
          <w:p w:rsidR="00743690" w:rsidRPr="00743690" w:rsidRDefault="00743690" w:rsidP="00743690">
            <w:pPr>
              <w:pStyle w:val="TableParagraph"/>
              <w:spacing w:before="60" w:after="60"/>
              <w:ind w:right="136"/>
              <w:jc w:val="center"/>
              <w:rPr>
                <w:rFonts w:ascii="Soberana Sans Light" w:eastAsia="Verdana" w:hAnsi="Soberana Sans Light" w:cs="Verdana"/>
                <w:sz w:val="20"/>
                <w:szCs w:val="18"/>
                <w:lang w:val="es-MX"/>
              </w:rPr>
            </w:pPr>
            <w:r w:rsidRPr="00743690">
              <w:rPr>
                <w:rFonts w:ascii="Soberana Sans Light" w:eastAsia="Verdana" w:hAnsi="Soberana Sans Light" w:cs="Verdana"/>
                <w:sz w:val="20"/>
                <w:szCs w:val="18"/>
                <w:lang w:val="es-MX"/>
              </w:rPr>
              <w:t>2012: 53.8%</w:t>
            </w:r>
          </w:p>
          <w:p w:rsidR="00A73F8D" w:rsidRPr="000E6C54" w:rsidRDefault="00743690" w:rsidP="00743690">
            <w:pPr>
              <w:pStyle w:val="TableParagraph"/>
              <w:spacing w:before="60" w:after="60"/>
              <w:ind w:right="136"/>
              <w:jc w:val="center"/>
              <w:rPr>
                <w:rFonts w:ascii="Soberana Sans Light" w:eastAsia="Verdana" w:hAnsi="Soberana Sans Light" w:cs="Verdana"/>
                <w:sz w:val="20"/>
                <w:szCs w:val="18"/>
                <w:lang w:val="es-MX"/>
              </w:rPr>
            </w:pPr>
            <w:r w:rsidRPr="00743690">
              <w:rPr>
                <w:rFonts w:ascii="Soberana Sans Light" w:eastAsia="Verdana" w:hAnsi="Soberana Sans Light" w:cs="Verdana"/>
                <w:sz w:val="20"/>
                <w:szCs w:val="18"/>
                <w:lang w:val="es-MX"/>
              </w:rPr>
              <w:t>(Última información oficial disponible)</w:t>
            </w:r>
          </w:p>
        </w:tc>
        <w:tc>
          <w:tcPr>
            <w:tcW w:w="5266" w:type="dxa"/>
            <w:tcBorders>
              <w:top w:val="single" w:sz="4" w:space="0" w:color="6D6E70"/>
              <w:left w:val="single" w:sz="4" w:space="0" w:color="6D6E70"/>
              <w:bottom w:val="single" w:sz="24" w:space="0" w:color="95979A"/>
              <w:right w:val="single" w:sz="24" w:space="0" w:color="95979A"/>
            </w:tcBorders>
            <w:vAlign w:val="center"/>
          </w:tcPr>
          <w:p w:rsidR="00A73F8D" w:rsidRPr="000E6C54" w:rsidRDefault="00743690" w:rsidP="00743690">
            <w:pPr>
              <w:pStyle w:val="TableParagraph"/>
              <w:spacing w:before="60" w:after="60"/>
              <w:ind w:right="86"/>
              <w:jc w:val="center"/>
              <w:rPr>
                <w:rFonts w:ascii="Soberana Sans Light" w:eastAsia="Verdana" w:hAnsi="Soberana Sans Light" w:cs="Verdana"/>
                <w:sz w:val="20"/>
                <w:szCs w:val="18"/>
                <w:lang w:val="es-MX"/>
              </w:rPr>
            </w:pPr>
            <w:r>
              <w:rPr>
                <w:rFonts w:ascii="Soberana Sans Light" w:hAnsi="Soberana Sans Light"/>
                <w:sz w:val="20"/>
                <w:lang w:val="es-MX"/>
              </w:rPr>
              <w:t>80</w:t>
            </w:r>
            <w:r w:rsidR="00374D3A" w:rsidRPr="00374D3A">
              <w:rPr>
                <w:rFonts w:ascii="Soberana Sans Light" w:hAnsi="Soberana Sans Light"/>
                <w:sz w:val="20"/>
                <w:lang w:val="es-MX"/>
              </w:rPr>
              <w:t>.0%</w:t>
            </w:r>
          </w:p>
        </w:tc>
      </w:tr>
      <w:tr w:rsidR="00A73F8D" w:rsidRPr="00517B31" w:rsidTr="0033150E">
        <w:tc>
          <w:tcPr>
            <w:tcW w:w="4497" w:type="dxa"/>
            <w:gridSpan w:val="2"/>
            <w:tcBorders>
              <w:top w:val="single" w:sz="24" w:space="0" w:color="95979A"/>
              <w:bottom w:val="single" w:sz="24" w:space="0" w:color="95979A"/>
            </w:tcBorders>
            <w:vAlign w:val="center"/>
          </w:tcPr>
          <w:p w:rsidR="00A73F8D" w:rsidRPr="00517B31" w:rsidRDefault="00A73F8D" w:rsidP="00514827">
            <w:pPr>
              <w:pStyle w:val="TableParagraph"/>
              <w:spacing w:before="60" w:after="60"/>
              <w:ind w:right="136"/>
              <w:jc w:val="center"/>
              <w:rPr>
                <w:rFonts w:ascii="Soberana Sans Light" w:hAnsi="Soberana Sans Light"/>
                <w:sz w:val="20"/>
                <w:lang w:val="es-MX"/>
              </w:rPr>
            </w:pPr>
          </w:p>
        </w:tc>
        <w:tc>
          <w:tcPr>
            <w:tcW w:w="5266" w:type="dxa"/>
            <w:tcBorders>
              <w:top w:val="single" w:sz="24" w:space="0" w:color="95979A"/>
              <w:bottom w:val="single" w:sz="24" w:space="0" w:color="95979A"/>
            </w:tcBorders>
            <w:vAlign w:val="center"/>
          </w:tcPr>
          <w:p w:rsidR="00A73F8D" w:rsidRPr="00517B31" w:rsidRDefault="00A73F8D" w:rsidP="00514827">
            <w:pPr>
              <w:pStyle w:val="TableParagraph"/>
              <w:spacing w:before="60" w:after="60"/>
              <w:ind w:right="86"/>
              <w:jc w:val="center"/>
              <w:rPr>
                <w:rFonts w:ascii="Soberana Sans Light" w:hAnsi="Soberana Sans Light"/>
                <w:sz w:val="20"/>
                <w:lang w:val="es-MX"/>
              </w:rPr>
            </w:pPr>
          </w:p>
        </w:tc>
      </w:tr>
      <w:tr w:rsidR="00A73F8D" w:rsidRPr="00517B31" w:rsidTr="0033150E">
        <w:tc>
          <w:tcPr>
            <w:tcW w:w="9763" w:type="dxa"/>
            <w:gridSpan w:val="3"/>
            <w:tcBorders>
              <w:top w:val="single" w:sz="24" w:space="0" w:color="95979A"/>
              <w:left w:val="single" w:sz="24" w:space="0" w:color="95979A"/>
              <w:bottom w:val="single" w:sz="4" w:space="0" w:color="95979A"/>
              <w:right w:val="single" w:sz="24" w:space="0" w:color="95979A"/>
            </w:tcBorders>
            <w:shd w:val="clear" w:color="auto" w:fill="205A35"/>
            <w:vAlign w:val="center"/>
          </w:tcPr>
          <w:p w:rsidR="00A73F8D" w:rsidRPr="007704B9" w:rsidRDefault="007704B9" w:rsidP="00F97E4E">
            <w:pPr>
              <w:tabs>
                <w:tab w:val="left" w:pos="450"/>
              </w:tabs>
              <w:spacing w:before="60" w:after="60"/>
              <w:ind w:left="471" w:right="164"/>
              <w:rPr>
                <w:rFonts w:ascii="Soberana Sans Light" w:hAnsi="Soberana Sans Light"/>
                <w:sz w:val="20"/>
                <w:szCs w:val="20"/>
                <w:lang w:val="es-MX"/>
              </w:rPr>
            </w:pPr>
            <w:r w:rsidRPr="007704B9">
              <w:rPr>
                <w:rFonts w:ascii="Soberana Sans" w:hAnsi="Soberana Sans"/>
                <w:b/>
                <w:color w:val="FFFFFF"/>
                <w:sz w:val="20"/>
                <w:lang w:val="es-MX"/>
              </w:rPr>
              <w:t>Consideraciones para el cálculo de la meta</w:t>
            </w:r>
          </w:p>
        </w:tc>
      </w:tr>
      <w:tr w:rsidR="00A73F8D" w:rsidRPr="007704B9" w:rsidTr="0033150E">
        <w:tc>
          <w:tcPr>
            <w:tcW w:w="9763" w:type="dxa"/>
            <w:gridSpan w:val="3"/>
            <w:tcBorders>
              <w:top w:val="single" w:sz="4" w:space="0" w:color="95979A"/>
              <w:left w:val="single" w:sz="24" w:space="0" w:color="95979A"/>
              <w:bottom w:val="single" w:sz="24" w:space="0" w:color="95979A"/>
              <w:right w:val="single" w:sz="24" w:space="0" w:color="95979A"/>
            </w:tcBorders>
            <w:vAlign w:val="center"/>
          </w:tcPr>
          <w:p w:rsidR="001D4804" w:rsidRPr="001D4804" w:rsidRDefault="001D4804" w:rsidP="001D4804">
            <w:pPr>
              <w:pStyle w:val="Prrafodelista"/>
              <w:numPr>
                <w:ilvl w:val="0"/>
                <w:numId w:val="1"/>
              </w:numPr>
              <w:spacing w:before="60" w:after="60"/>
              <w:ind w:left="471"/>
              <w:contextualSpacing w:val="0"/>
              <w:rPr>
                <w:rFonts w:ascii="Soberana Sans Light" w:hAnsi="Soberana Sans Light"/>
                <w:sz w:val="20"/>
                <w:szCs w:val="20"/>
                <w:lang w:val="es-MX"/>
              </w:rPr>
            </w:pPr>
            <w:r w:rsidRPr="001D4804">
              <w:rPr>
                <w:rFonts w:ascii="Soberana Sans Light" w:hAnsi="Soberana Sans Light"/>
                <w:sz w:val="20"/>
                <w:szCs w:val="20"/>
                <w:lang w:val="es-MX"/>
              </w:rPr>
              <w:t>Análisis de tendencia de los datos de afiliación a instituciones públicas y privadas que financian y ofrecen atención médica.</w:t>
            </w:r>
          </w:p>
          <w:p w:rsidR="001D4804" w:rsidRPr="001D4804" w:rsidRDefault="001D4804" w:rsidP="001D4804">
            <w:pPr>
              <w:pStyle w:val="Prrafodelista"/>
              <w:numPr>
                <w:ilvl w:val="0"/>
                <w:numId w:val="1"/>
              </w:numPr>
              <w:spacing w:before="60" w:after="60"/>
              <w:ind w:left="471"/>
              <w:contextualSpacing w:val="0"/>
              <w:rPr>
                <w:rFonts w:ascii="Soberana Sans Light" w:hAnsi="Soberana Sans Light"/>
                <w:sz w:val="20"/>
                <w:szCs w:val="20"/>
                <w:lang w:val="es-MX"/>
              </w:rPr>
            </w:pPr>
            <w:r w:rsidRPr="001D4804">
              <w:rPr>
                <w:rFonts w:ascii="Soberana Sans Light" w:hAnsi="Soberana Sans Light"/>
                <w:sz w:val="20"/>
                <w:szCs w:val="20"/>
                <w:lang w:val="es-MX"/>
              </w:rPr>
              <w:t>Acciones de mejora en la gestión y rendición de cuentas del proceso de afiliación poblacional a instituciones públicas y privadas que financian y ofrecen atención médica bajo el marco del Sistema Nacional de Salud Universal.</w:t>
            </w:r>
          </w:p>
          <w:p w:rsidR="001D4804" w:rsidRPr="001D4804" w:rsidRDefault="001D4804" w:rsidP="001D4804">
            <w:pPr>
              <w:pStyle w:val="Prrafodelista"/>
              <w:numPr>
                <w:ilvl w:val="0"/>
                <w:numId w:val="1"/>
              </w:numPr>
              <w:spacing w:before="60" w:after="60"/>
              <w:ind w:left="471"/>
              <w:contextualSpacing w:val="0"/>
              <w:rPr>
                <w:rFonts w:ascii="Soberana Sans Light" w:hAnsi="Soberana Sans Light"/>
                <w:sz w:val="20"/>
                <w:szCs w:val="20"/>
                <w:lang w:val="es-MX"/>
              </w:rPr>
            </w:pPr>
            <w:r w:rsidRPr="001D4804">
              <w:rPr>
                <w:rFonts w:ascii="Soberana Sans Light" w:hAnsi="Soberana Sans Light"/>
                <w:sz w:val="20"/>
                <w:szCs w:val="20"/>
                <w:lang w:val="es-MX"/>
              </w:rPr>
              <w:t>Acciones de mejora en la gestión y rendición de cuentas de la atención médica proporcionada por las instituciones públicas bajo el marco del Sistema Nacional de Salud Universal.</w:t>
            </w:r>
          </w:p>
          <w:p w:rsidR="00A73F8D" w:rsidRPr="00C3277E" w:rsidRDefault="001D4804" w:rsidP="001D4804">
            <w:pPr>
              <w:pStyle w:val="Prrafodelista"/>
              <w:numPr>
                <w:ilvl w:val="0"/>
                <w:numId w:val="1"/>
              </w:numPr>
              <w:spacing w:before="60" w:after="60"/>
              <w:ind w:left="471"/>
              <w:contextualSpacing w:val="0"/>
              <w:rPr>
                <w:rFonts w:ascii="Soberana Sans Light" w:hAnsi="Soberana Sans Light"/>
                <w:sz w:val="20"/>
                <w:szCs w:val="20"/>
                <w:lang w:val="es-MX"/>
              </w:rPr>
            </w:pPr>
            <w:r w:rsidRPr="001D4804">
              <w:rPr>
                <w:rFonts w:ascii="Soberana Sans Light" w:hAnsi="Soberana Sans Light"/>
                <w:sz w:val="20"/>
                <w:szCs w:val="20"/>
                <w:lang w:val="es-MX"/>
              </w:rPr>
              <w:t>Efectividad de las acciones de mejora en la gestión y rendición de cuentas del proceso de afiliación a seguros públicos de salud y del proceso de atención médica</w:t>
            </w:r>
          </w:p>
        </w:tc>
      </w:tr>
    </w:tbl>
    <w:p w:rsidR="00F3047B" w:rsidRPr="007704B9" w:rsidRDefault="00F3047B">
      <w:pPr>
        <w:rPr>
          <w:rFonts w:ascii="Soberana Sans Light" w:hAnsi="Soberana Sans Light"/>
        </w:rPr>
      </w:pPr>
    </w:p>
    <w:p w:rsidR="002F099D" w:rsidRPr="00C3277E" w:rsidRDefault="002F099D" w:rsidP="00271BEF">
      <w:pPr>
        <w:spacing w:after="0" w:line="240" w:lineRule="auto"/>
        <w:rPr>
          <w:rFonts w:ascii="Soberana Sans Light" w:hAnsi="Soberana Sans Light"/>
        </w:rPr>
      </w:pPr>
      <w:r w:rsidRPr="0042249E">
        <w:rPr>
          <w:rFonts w:ascii="Soberana Sans Light" w:hAnsi="Soberana Sans Light"/>
        </w:rPr>
        <w:tab/>
      </w:r>
      <w:bookmarkStart w:id="0" w:name="_GoBack"/>
      <w:bookmarkEnd w:id="0"/>
    </w:p>
    <w:sectPr w:rsidR="002F099D" w:rsidRPr="00C3277E" w:rsidSect="008A1C71">
      <w:pgSz w:w="12240" w:h="15840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055C"/>
    <w:multiLevelType w:val="hybridMultilevel"/>
    <w:tmpl w:val="8C623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C613A"/>
    <w:multiLevelType w:val="hybridMultilevel"/>
    <w:tmpl w:val="C526DBC0"/>
    <w:lvl w:ilvl="0" w:tplc="F68E3546">
      <w:start w:val="1"/>
      <w:numFmt w:val="bullet"/>
      <w:lvlText w:val=""/>
      <w:lvlJc w:val="left"/>
      <w:pPr>
        <w:ind w:left="470" w:hanging="176"/>
      </w:pPr>
      <w:rPr>
        <w:rFonts w:ascii="Symbol" w:hAnsi="Symbol" w:hint="default"/>
        <w:color w:val="auto"/>
        <w:sz w:val="18"/>
        <w:szCs w:val="18"/>
      </w:rPr>
    </w:lvl>
    <w:lvl w:ilvl="1" w:tplc="7EB69022">
      <w:start w:val="1"/>
      <w:numFmt w:val="bullet"/>
      <w:lvlText w:val="•"/>
      <w:lvlJc w:val="left"/>
      <w:pPr>
        <w:ind w:left="1295" w:hanging="176"/>
      </w:pPr>
      <w:rPr>
        <w:rFonts w:hint="default"/>
      </w:rPr>
    </w:lvl>
    <w:lvl w:ilvl="2" w:tplc="0D70FC0C">
      <w:start w:val="1"/>
      <w:numFmt w:val="bullet"/>
      <w:lvlText w:val="•"/>
      <w:lvlJc w:val="left"/>
      <w:pPr>
        <w:ind w:left="2121" w:hanging="176"/>
      </w:pPr>
      <w:rPr>
        <w:rFonts w:hint="default"/>
      </w:rPr>
    </w:lvl>
    <w:lvl w:ilvl="3" w:tplc="1B747DE0">
      <w:start w:val="1"/>
      <w:numFmt w:val="bullet"/>
      <w:lvlText w:val="•"/>
      <w:lvlJc w:val="left"/>
      <w:pPr>
        <w:ind w:left="2947" w:hanging="176"/>
      </w:pPr>
      <w:rPr>
        <w:rFonts w:hint="default"/>
      </w:rPr>
    </w:lvl>
    <w:lvl w:ilvl="4" w:tplc="824AD89A">
      <w:start w:val="1"/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242856A6">
      <w:start w:val="1"/>
      <w:numFmt w:val="bullet"/>
      <w:lvlText w:val="•"/>
      <w:lvlJc w:val="left"/>
      <w:pPr>
        <w:ind w:left="4598" w:hanging="176"/>
      </w:pPr>
      <w:rPr>
        <w:rFonts w:hint="default"/>
      </w:rPr>
    </w:lvl>
    <w:lvl w:ilvl="6" w:tplc="AA9484E4">
      <w:start w:val="1"/>
      <w:numFmt w:val="bullet"/>
      <w:lvlText w:val="•"/>
      <w:lvlJc w:val="left"/>
      <w:pPr>
        <w:ind w:left="5424" w:hanging="176"/>
      </w:pPr>
      <w:rPr>
        <w:rFonts w:hint="default"/>
      </w:rPr>
    </w:lvl>
    <w:lvl w:ilvl="7" w:tplc="BE2A0AE2">
      <w:start w:val="1"/>
      <w:numFmt w:val="bullet"/>
      <w:lvlText w:val="•"/>
      <w:lvlJc w:val="left"/>
      <w:pPr>
        <w:ind w:left="6250" w:hanging="176"/>
      </w:pPr>
      <w:rPr>
        <w:rFonts w:hint="default"/>
      </w:rPr>
    </w:lvl>
    <w:lvl w:ilvl="8" w:tplc="F91C4E8C">
      <w:start w:val="1"/>
      <w:numFmt w:val="bullet"/>
      <w:lvlText w:val="•"/>
      <w:lvlJc w:val="left"/>
      <w:pPr>
        <w:ind w:left="7075" w:hanging="1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B7"/>
    <w:rsid w:val="00016BB7"/>
    <w:rsid w:val="00037525"/>
    <w:rsid w:val="00050CDF"/>
    <w:rsid w:val="00050DEB"/>
    <w:rsid w:val="0007120D"/>
    <w:rsid w:val="00094E20"/>
    <w:rsid w:val="000B2F13"/>
    <w:rsid w:val="000E6C54"/>
    <w:rsid w:val="00137E13"/>
    <w:rsid w:val="001C1C13"/>
    <w:rsid w:val="001D4804"/>
    <w:rsid w:val="0021063D"/>
    <w:rsid w:val="002131FD"/>
    <w:rsid w:val="00271BEF"/>
    <w:rsid w:val="002F099D"/>
    <w:rsid w:val="0033150E"/>
    <w:rsid w:val="0036443C"/>
    <w:rsid w:val="00374D3A"/>
    <w:rsid w:val="003B5DE9"/>
    <w:rsid w:val="003C754E"/>
    <w:rsid w:val="0042249E"/>
    <w:rsid w:val="00464E25"/>
    <w:rsid w:val="004D6581"/>
    <w:rsid w:val="00541053"/>
    <w:rsid w:val="00572CF6"/>
    <w:rsid w:val="005860D6"/>
    <w:rsid w:val="005F3176"/>
    <w:rsid w:val="006802BF"/>
    <w:rsid w:val="00697B3E"/>
    <w:rsid w:val="006B6833"/>
    <w:rsid w:val="006C48C5"/>
    <w:rsid w:val="006C6267"/>
    <w:rsid w:val="006D1058"/>
    <w:rsid w:val="006D422C"/>
    <w:rsid w:val="0071618F"/>
    <w:rsid w:val="0074252F"/>
    <w:rsid w:val="00743690"/>
    <w:rsid w:val="00751A9B"/>
    <w:rsid w:val="00765BA0"/>
    <w:rsid w:val="007704B9"/>
    <w:rsid w:val="008802CB"/>
    <w:rsid w:val="008A1C71"/>
    <w:rsid w:val="00934AEB"/>
    <w:rsid w:val="00945FDD"/>
    <w:rsid w:val="009C24EA"/>
    <w:rsid w:val="00A14997"/>
    <w:rsid w:val="00A23BD8"/>
    <w:rsid w:val="00A6039B"/>
    <w:rsid w:val="00A65B76"/>
    <w:rsid w:val="00A73F8D"/>
    <w:rsid w:val="00B31823"/>
    <w:rsid w:val="00BC2A19"/>
    <w:rsid w:val="00C14908"/>
    <w:rsid w:val="00C3277E"/>
    <w:rsid w:val="00D47D2D"/>
    <w:rsid w:val="00D955F3"/>
    <w:rsid w:val="00DC297B"/>
    <w:rsid w:val="00DF293E"/>
    <w:rsid w:val="00E01A61"/>
    <w:rsid w:val="00E5343A"/>
    <w:rsid w:val="00EA5EC0"/>
    <w:rsid w:val="00EB4254"/>
    <w:rsid w:val="00F3047B"/>
    <w:rsid w:val="00F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B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6BB7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01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2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4D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B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6BB7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01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2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4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Ocaranza</dc:creator>
  <cp:lastModifiedBy>RONALDO</cp:lastModifiedBy>
  <cp:revision>83</cp:revision>
  <dcterms:created xsi:type="dcterms:W3CDTF">2015-01-13T18:38:00Z</dcterms:created>
  <dcterms:modified xsi:type="dcterms:W3CDTF">2015-01-13T21:59:00Z</dcterms:modified>
</cp:coreProperties>
</file>